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41D769CC" w:rsidR="00185DC9" w:rsidRPr="00596B14" w:rsidRDefault="00185DC9" w:rsidP="00185DC9">
      <w:pPr>
        <w:widowControl w:val="0"/>
        <w:tabs>
          <w:tab w:val="right" w:pos="9639"/>
        </w:tabs>
        <w:spacing w:after="0"/>
        <w:rPr>
          <w:rFonts w:asciiTheme="minorHAnsi" w:hAnsiTheme="minorHAnsi" w:cstheme="minorHAnsi"/>
          <w:b/>
          <w:bCs/>
          <w:color w:val="000000"/>
          <w:sz w:val="22"/>
          <w:szCs w:val="22"/>
        </w:rPr>
      </w:pPr>
      <w:r w:rsidRPr="00596B14">
        <w:rPr>
          <w:rFonts w:asciiTheme="minorHAnsi" w:eastAsia="Times New Roman" w:hAnsiTheme="minorHAnsi" w:cstheme="minorHAnsi"/>
          <w:b/>
          <w:bCs/>
          <w:sz w:val="22"/>
          <w:szCs w:val="22"/>
        </w:rPr>
        <w:t>3GPP T</w:t>
      </w:r>
      <w:bookmarkStart w:id="0" w:name="_Ref452454252"/>
      <w:bookmarkEnd w:id="0"/>
      <w:r w:rsidRPr="00596B14">
        <w:rPr>
          <w:rFonts w:asciiTheme="minorHAnsi" w:eastAsia="Times New Roman" w:hAnsiTheme="minorHAnsi" w:cstheme="minorHAnsi"/>
          <w:b/>
          <w:bCs/>
          <w:sz w:val="22"/>
          <w:szCs w:val="22"/>
        </w:rPr>
        <w:t xml:space="preserve">SG-RAN </w:t>
      </w:r>
      <w:r w:rsidRPr="00596B14">
        <w:rPr>
          <w:rFonts w:asciiTheme="minorHAnsi" w:eastAsia="Times New Roman" w:hAnsiTheme="minorHAnsi" w:cstheme="minorHAnsi"/>
          <w:b/>
          <w:sz w:val="22"/>
          <w:szCs w:val="22"/>
        </w:rPr>
        <w:t>WG3 Meeting #11</w:t>
      </w:r>
      <w:r w:rsidR="00CF342B">
        <w:rPr>
          <w:rFonts w:asciiTheme="minorHAnsi" w:eastAsia="Times New Roman" w:hAnsiTheme="minorHAnsi" w:cstheme="minorHAnsi"/>
          <w:b/>
          <w:sz w:val="22"/>
          <w:szCs w:val="22"/>
        </w:rPr>
        <w:t>8</w:t>
      </w:r>
      <w:r w:rsidR="00E836BF" w:rsidRPr="00596B14">
        <w:rPr>
          <w:rFonts w:asciiTheme="minorHAnsi" w:eastAsia="Times New Roman" w:hAnsiTheme="minorHAnsi" w:cstheme="minorHAnsi"/>
          <w:b/>
          <w:sz w:val="22"/>
          <w:szCs w:val="22"/>
        </w:rPr>
        <w:t>-</w:t>
      </w:r>
      <w:r w:rsidRPr="00596B14">
        <w:rPr>
          <w:rFonts w:asciiTheme="minorHAnsi" w:eastAsia="Times New Roman" w:hAnsiTheme="minorHAnsi" w:cstheme="minorHAnsi"/>
          <w:b/>
          <w:sz w:val="22"/>
          <w:szCs w:val="22"/>
        </w:rPr>
        <w:t xml:space="preserve">e                                                      </w:t>
      </w:r>
      <w:r w:rsidR="00E7624B" w:rsidRPr="00596B14">
        <w:rPr>
          <w:rFonts w:asciiTheme="minorHAnsi" w:eastAsia="Times New Roman" w:hAnsiTheme="minorHAnsi" w:cstheme="minorHAnsi"/>
          <w:b/>
          <w:sz w:val="22"/>
          <w:szCs w:val="22"/>
        </w:rPr>
        <w:tab/>
      </w:r>
      <w:r w:rsidRPr="00596B14">
        <w:rPr>
          <w:rFonts w:asciiTheme="minorHAnsi" w:hAnsiTheme="minorHAnsi" w:cstheme="minorHAnsi"/>
          <w:b/>
          <w:bCs/>
          <w:color w:val="000000"/>
          <w:sz w:val="22"/>
          <w:szCs w:val="22"/>
        </w:rPr>
        <w:t>R3-2</w:t>
      </w:r>
      <w:r w:rsidR="00F236C0" w:rsidRPr="00596B14">
        <w:rPr>
          <w:rFonts w:asciiTheme="minorHAnsi" w:hAnsiTheme="minorHAnsi" w:cstheme="minorHAnsi"/>
          <w:b/>
          <w:bCs/>
          <w:color w:val="000000"/>
          <w:sz w:val="22"/>
          <w:szCs w:val="22"/>
        </w:rPr>
        <w:t>2</w:t>
      </w:r>
      <w:r w:rsidR="002C0E63">
        <w:rPr>
          <w:rFonts w:asciiTheme="minorHAnsi" w:hAnsiTheme="minorHAnsi" w:cstheme="minorHAnsi"/>
          <w:b/>
          <w:bCs/>
          <w:color w:val="000000"/>
          <w:sz w:val="22"/>
          <w:szCs w:val="22"/>
        </w:rPr>
        <w:t>6514</w:t>
      </w:r>
    </w:p>
    <w:p w14:paraId="4C8F5987" w14:textId="60D45C83" w:rsidR="00185DC9" w:rsidRPr="00596B14" w:rsidRDefault="00CF342B" w:rsidP="00185DC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Toulouse,</w:t>
      </w:r>
      <w:r w:rsidR="00185DC9" w:rsidRPr="00596B14">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Nov 14</w:t>
      </w:r>
      <w:r w:rsidR="00F236C0" w:rsidRPr="00596B14">
        <w:rPr>
          <w:rFonts w:asciiTheme="minorHAnsi" w:hAnsiTheme="minorHAnsi" w:cstheme="minorHAnsi"/>
          <w:b/>
          <w:sz w:val="22"/>
          <w:szCs w:val="22"/>
          <w:vertAlign w:val="superscript"/>
          <w:lang w:eastAsia="zh-CN"/>
        </w:rPr>
        <w:t>th</w:t>
      </w:r>
      <w:r w:rsidR="00F236C0" w:rsidRPr="00596B14">
        <w:rPr>
          <w:rFonts w:asciiTheme="minorHAnsi" w:hAnsiTheme="minorHAnsi" w:cstheme="minorHAnsi"/>
          <w:b/>
          <w:sz w:val="22"/>
          <w:szCs w:val="22"/>
          <w:lang w:eastAsia="zh-CN"/>
        </w:rPr>
        <w:t xml:space="preserve"> </w:t>
      </w:r>
      <w:r w:rsidR="00185DC9" w:rsidRPr="00596B14">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Nov</w:t>
      </w:r>
      <w:r w:rsidR="000A0616" w:rsidRPr="00596B14">
        <w:rPr>
          <w:rFonts w:asciiTheme="minorHAnsi" w:hAnsiTheme="minorHAnsi" w:cstheme="minorHAnsi"/>
          <w:b/>
          <w:sz w:val="22"/>
          <w:szCs w:val="22"/>
          <w:lang w:eastAsia="zh-CN"/>
        </w:rPr>
        <w:t xml:space="preserve"> </w:t>
      </w:r>
      <w:r w:rsidR="004D2DC5" w:rsidRPr="00596B14">
        <w:rPr>
          <w:rFonts w:asciiTheme="minorHAnsi" w:hAnsiTheme="minorHAnsi" w:cstheme="minorHAnsi"/>
          <w:b/>
          <w:sz w:val="22"/>
          <w:szCs w:val="22"/>
          <w:lang w:eastAsia="zh-CN"/>
        </w:rPr>
        <w:t>18</w:t>
      </w:r>
      <w:r w:rsidR="00185DC9" w:rsidRPr="00596B14">
        <w:rPr>
          <w:rFonts w:asciiTheme="minorHAnsi" w:hAnsiTheme="minorHAnsi" w:cstheme="minorHAnsi"/>
          <w:b/>
          <w:sz w:val="22"/>
          <w:szCs w:val="22"/>
          <w:vertAlign w:val="superscript"/>
          <w:lang w:eastAsia="zh-CN"/>
        </w:rPr>
        <w:t>th</w:t>
      </w:r>
      <w:r w:rsidR="00185DC9" w:rsidRPr="00596B14">
        <w:rPr>
          <w:rFonts w:asciiTheme="minorHAnsi" w:hAnsiTheme="minorHAnsi" w:cstheme="minorHAnsi"/>
          <w:b/>
          <w:sz w:val="22"/>
          <w:szCs w:val="22"/>
          <w:lang w:eastAsia="zh-CN"/>
        </w:rPr>
        <w:t>, 202</w:t>
      </w:r>
      <w:r w:rsidR="000A0616" w:rsidRPr="00596B14">
        <w:rPr>
          <w:rFonts w:asciiTheme="minorHAnsi" w:hAnsiTheme="minorHAnsi" w:cstheme="minorHAnsi"/>
          <w:b/>
          <w:sz w:val="22"/>
          <w:szCs w:val="22"/>
          <w:lang w:eastAsia="zh-CN"/>
        </w:rPr>
        <w:t>2</w:t>
      </w:r>
      <w:r w:rsidR="00185DC9" w:rsidRPr="00596B14">
        <w:rPr>
          <w:rFonts w:asciiTheme="minorHAnsi" w:hAnsiTheme="minorHAnsi" w:cstheme="minorHAnsi"/>
          <w:b/>
          <w:bCs/>
          <w:color w:val="000000"/>
          <w:sz w:val="22"/>
          <w:szCs w:val="22"/>
        </w:rPr>
        <w:t xml:space="preserve">                                     </w:t>
      </w:r>
    </w:p>
    <w:p w14:paraId="326A5EDE" w14:textId="77777777" w:rsidR="00185DC9" w:rsidRPr="00596B14" w:rsidRDefault="00185DC9" w:rsidP="00185DC9">
      <w:pPr>
        <w:widowControl w:val="0"/>
        <w:tabs>
          <w:tab w:val="right" w:pos="9639"/>
        </w:tabs>
        <w:spacing w:after="0"/>
        <w:rPr>
          <w:rFonts w:asciiTheme="minorHAnsi" w:hAnsiTheme="minorHAnsi" w:cstheme="minorHAnsi"/>
          <w:b/>
          <w:sz w:val="22"/>
          <w:szCs w:val="22"/>
          <w:lang w:eastAsia="zh-CN"/>
        </w:rPr>
      </w:pPr>
      <w:r w:rsidRPr="00596B14">
        <w:rPr>
          <w:rFonts w:asciiTheme="minorHAnsi" w:hAnsiTheme="minorHAnsi" w:cstheme="minorHAnsi"/>
          <w:b/>
          <w:sz w:val="22"/>
          <w:szCs w:val="22"/>
          <w:lang w:eastAsia="zh-CN"/>
        </w:rPr>
        <w:tab/>
        <w:t xml:space="preserve"> </w:t>
      </w:r>
    </w:p>
    <w:p w14:paraId="35C647C9" w14:textId="7124E615" w:rsidR="00185DC9" w:rsidRPr="00596B14" w:rsidRDefault="00185DC9" w:rsidP="00185DC9">
      <w:pPr>
        <w:tabs>
          <w:tab w:val="left" w:pos="1985"/>
        </w:tabs>
        <w:spacing w:after="120"/>
        <w:rPr>
          <w:rFonts w:asciiTheme="minorHAnsi" w:eastAsia="MS Mincho" w:hAnsiTheme="minorHAnsi" w:cstheme="minorHAnsi"/>
          <w:b/>
          <w:bCs/>
          <w:sz w:val="22"/>
          <w:szCs w:val="22"/>
        </w:rPr>
      </w:pPr>
      <w:r w:rsidRPr="00596B14">
        <w:rPr>
          <w:rFonts w:asciiTheme="minorHAnsi" w:eastAsia="MS Mincho" w:hAnsiTheme="minorHAnsi" w:cstheme="minorHAnsi"/>
          <w:b/>
          <w:bCs/>
          <w:sz w:val="22"/>
          <w:szCs w:val="22"/>
        </w:rPr>
        <w:t>Agenda item:</w:t>
      </w:r>
      <w:r w:rsidRPr="00596B14">
        <w:rPr>
          <w:rFonts w:asciiTheme="minorHAnsi" w:eastAsia="MS Mincho" w:hAnsiTheme="minorHAnsi" w:cstheme="minorHAnsi"/>
          <w:b/>
          <w:bCs/>
          <w:sz w:val="22"/>
          <w:szCs w:val="22"/>
        </w:rPr>
        <w:tab/>
      </w:r>
      <w:r w:rsidR="00FC2127" w:rsidRPr="00596B14">
        <w:rPr>
          <w:rFonts w:asciiTheme="minorHAnsi" w:eastAsia="MS Mincho" w:hAnsiTheme="minorHAnsi" w:cstheme="minorHAnsi"/>
          <w:b/>
          <w:bCs/>
          <w:sz w:val="22"/>
          <w:szCs w:val="22"/>
        </w:rPr>
        <w:t>10.</w:t>
      </w:r>
      <w:r w:rsidR="004F7718" w:rsidRPr="00596B14">
        <w:rPr>
          <w:rFonts w:asciiTheme="minorHAnsi" w:eastAsia="MS Mincho" w:hAnsiTheme="minorHAnsi" w:cstheme="minorHAnsi"/>
          <w:b/>
          <w:bCs/>
          <w:sz w:val="22"/>
          <w:szCs w:val="22"/>
        </w:rPr>
        <w:t>2</w:t>
      </w:r>
      <w:r w:rsidR="009C6EFA" w:rsidRPr="00596B14">
        <w:rPr>
          <w:rFonts w:asciiTheme="minorHAnsi" w:eastAsia="MS Mincho" w:hAnsiTheme="minorHAnsi" w:cstheme="minorHAnsi"/>
          <w:b/>
          <w:bCs/>
          <w:sz w:val="22"/>
          <w:szCs w:val="22"/>
        </w:rPr>
        <w:t>.2</w:t>
      </w:r>
    </w:p>
    <w:p w14:paraId="12BCBB65" w14:textId="6D0AA172" w:rsidR="00185DC9" w:rsidRPr="00596B14" w:rsidRDefault="00185DC9" w:rsidP="00185DC9">
      <w:pPr>
        <w:tabs>
          <w:tab w:val="left" w:pos="1985"/>
        </w:tabs>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Source:</w:t>
      </w:r>
      <w:r w:rsidRPr="00596B14">
        <w:rPr>
          <w:rFonts w:asciiTheme="minorHAnsi" w:eastAsia="Times New Roman" w:hAnsiTheme="minorHAnsi" w:cstheme="minorHAnsi"/>
          <w:b/>
          <w:bCs/>
          <w:sz w:val="22"/>
          <w:szCs w:val="22"/>
        </w:rPr>
        <w:tab/>
        <w:t>Qualcomm Inc</w:t>
      </w:r>
      <w:r w:rsidR="004B153D" w:rsidRPr="00596B14">
        <w:rPr>
          <w:rFonts w:asciiTheme="minorHAnsi" w:eastAsia="Times New Roman" w:hAnsiTheme="minorHAnsi" w:cstheme="minorHAnsi"/>
          <w:b/>
          <w:bCs/>
          <w:sz w:val="22"/>
          <w:szCs w:val="22"/>
        </w:rPr>
        <w:t>orporated</w:t>
      </w:r>
    </w:p>
    <w:p w14:paraId="6D6DCF35" w14:textId="4BD2595D"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Title:</w:t>
      </w:r>
      <w:r w:rsidRPr="00596B14">
        <w:rPr>
          <w:rFonts w:asciiTheme="minorHAnsi" w:eastAsia="Times New Roman" w:hAnsiTheme="minorHAnsi" w:cstheme="minorHAnsi"/>
          <w:b/>
          <w:bCs/>
          <w:sz w:val="22"/>
          <w:szCs w:val="22"/>
        </w:rPr>
        <w:tab/>
      </w:r>
      <w:r w:rsidR="00EB22DF" w:rsidRPr="00596B14">
        <w:rPr>
          <w:rFonts w:asciiTheme="minorHAnsi" w:eastAsia="Times New Roman" w:hAnsiTheme="minorHAnsi" w:cstheme="minorHAnsi"/>
          <w:b/>
          <w:bCs/>
          <w:sz w:val="22"/>
          <w:szCs w:val="22"/>
        </w:rPr>
        <w:t xml:space="preserve">MRO </w:t>
      </w:r>
      <w:r w:rsidR="00E836BF" w:rsidRPr="00596B14">
        <w:rPr>
          <w:rFonts w:asciiTheme="minorHAnsi" w:eastAsia="Times New Roman" w:hAnsiTheme="minorHAnsi" w:cstheme="minorHAnsi"/>
          <w:b/>
          <w:bCs/>
          <w:sz w:val="22"/>
          <w:szCs w:val="22"/>
        </w:rPr>
        <w:t xml:space="preserve">enhancements for </w:t>
      </w:r>
      <w:r w:rsidR="009C6EFA" w:rsidRPr="00596B14">
        <w:rPr>
          <w:rFonts w:asciiTheme="minorHAnsi" w:eastAsia="Times New Roman" w:hAnsiTheme="minorHAnsi" w:cstheme="minorHAnsi"/>
          <w:b/>
          <w:bCs/>
          <w:sz w:val="22"/>
          <w:szCs w:val="22"/>
        </w:rPr>
        <w:t>CPAC, MR-DC SCG failures</w:t>
      </w:r>
      <w:r w:rsidR="00496625">
        <w:rPr>
          <w:rFonts w:asciiTheme="minorHAnsi" w:eastAsia="Times New Roman" w:hAnsiTheme="minorHAnsi" w:cstheme="minorHAnsi"/>
          <w:b/>
          <w:bCs/>
          <w:sz w:val="22"/>
          <w:szCs w:val="22"/>
        </w:rPr>
        <w:t xml:space="preserve"> and fast MCG recovery</w:t>
      </w:r>
    </w:p>
    <w:p w14:paraId="28B302F7" w14:textId="77777777"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Document for:</w:t>
      </w:r>
      <w:r w:rsidRPr="00596B14">
        <w:rPr>
          <w:rFonts w:asciiTheme="minorHAnsi" w:eastAsia="Times New Roman" w:hAnsiTheme="minorHAnsi" w:cstheme="minorHAnsi"/>
          <w:b/>
          <w:bCs/>
          <w:sz w:val="22"/>
          <w:szCs w:val="22"/>
        </w:rPr>
        <w:tab/>
        <w:t>Discussion and Decision</w:t>
      </w:r>
    </w:p>
    <w:p w14:paraId="768587FB" w14:textId="77777777" w:rsidR="00185DC9" w:rsidRPr="003E17E3" w:rsidRDefault="00185DC9" w:rsidP="00185DC9">
      <w:pPr>
        <w:pStyle w:val="Heading1"/>
        <w:numPr>
          <w:ilvl w:val="0"/>
          <w:numId w:val="2"/>
        </w:numPr>
        <w:pBdr>
          <w:top w:val="single" w:sz="12" w:space="2" w:color="auto"/>
        </w:pBdr>
        <w:rPr>
          <w:rFonts w:asciiTheme="minorHAnsi" w:hAnsiTheme="minorHAnsi" w:cstheme="minorHAnsi"/>
          <w:sz w:val="32"/>
        </w:rPr>
      </w:pPr>
      <w:r w:rsidRPr="003E17E3">
        <w:rPr>
          <w:rFonts w:asciiTheme="minorHAnsi" w:hAnsiTheme="minorHAnsi" w:cstheme="minorHAnsi"/>
          <w:sz w:val="32"/>
        </w:rPr>
        <w:t xml:space="preserve">Introduction </w:t>
      </w:r>
    </w:p>
    <w:p w14:paraId="088181CC" w14:textId="301A6F1F" w:rsidR="00185DC9" w:rsidRPr="00596B14" w:rsidRDefault="00185DC9" w:rsidP="00185DC9">
      <w:pPr>
        <w:contextualSpacing/>
        <w:rPr>
          <w:rFonts w:asciiTheme="minorHAnsi" w:hAnsiTheme="minorHAnsi" w:cstheme="minorHAnsi"/>
          <w:iCs/>
          <w:sz w:val="22"/>
          <w:szCs w:val="22"/>
        </w:rPr>
      </w:pPr>
      <w:r w:rsidRPr="00596B14">
        <w:rPr>
          <w:rFonts w:asciiTheme="minorHAnsi" w:hAnsiTheme="minorHAnsi" w:cstheme="minorHAnsi"/>
          <w:iCs/>
          <w:sz w:val="22"/>
          <w:szCs w:val="22"/>
        </w:rPr>
        <w:t>In this paper, we</w:t>
      </w:r>
      <w:r w:rsidR="00BB47ED" w:rsidRPr="00596B14">
        <w:rPr>
          <w:rFonts w:asciiTheme="minorHAnsi" w:hAnsiTheme="minorHAnsi" w:cstheme="minorHAnsi"/>
          <w:iCs/>
          <w:sz w:val="22"/>
          <w:szCs w:val="22"/>
        </w:rPr>
        <w:t xml:space="preserve"> discuss </w:t>
      </w:r>
      <w:r w:rsidR="004B153D" w:rsidRPr="00596B14">
        <w:rPr>
          <w:rFonts w:asciiTheme="minorHAnsi" w:hAnsiTheme="minorHAnsi" w:cstheme="minorHAnsi"/>
          <w:iCs/>
          <w:sz w:val="22"/>
          <w:szCs w:val="22"/>
        </w:rPr>
        <w:t>MRO related enhancements i.e., optimizing CPAC, MR-DC SCG failures and fast MCG recovery</w:t>
      </w:r>
      <w:r w:rsidR="00861819">
        <w:rPr>
          <w:rFonts w:asciiTheme="minorHAnsi" w:hAnsiTheme="minorHAnsi" w:cstheme="minorHAnsi"/>
          <w:iCs/>
          <w:sz w:val="22"/>
          <w:szCs w:val="22"/>
        </w:rPr>
        <w:t xml:space="preserve"> based on agreements and open issues identified last meetin</w:t>
      </w:r>
      <w:r w:rsidR="007E0987">
        <w:rPr>
          <w:rFonts w:asciiTheme="minorHAnsi" w:hAnsiTheme="minorHAnsi" w:cstheme="minorHAnsi"/>
          <w:iCs/>
          <w:sz w:val="22"/>
          <w:szCs w:val="22"/>
        </w:rPr>
        <w:t>g</w:t>
      </w:r>
      <w:r w:rsidR="004B153D" w:rsidRPr="00596B14">
        <w:rPr>
          <w:rFonts w:asciiTheme="minorHAnsi" w:hAnsiTheme="minorHAnsi" w:cstheme="minorHAnsi"/>
          <w:iCs/>
          <w:sz w:val="22"/>
          <w:szCs w:val="22"/>
        </w:rPr>
        <w:t>.</w:t>
      </w:r>
    </w:p>
    <w:p w14:paraId="76237A84" w14:textId="24881FFF" w:rsidR="005042BC" w:rsidRDefault="00185DC9" w:rsidP="005042BC">
      <w:pPr>
        <w:pStyle w:val="Heading1"/>
        <w:numPr>
          <w:ilvl w:val="0"/>
          <w:numId w:val="2"/>
        </w:numPr>
        <w:pBdr>
          <w:top w:val="single" w:sz="12" w:space="2" w:color="auto"/>
        </w:pBdr>
        <w:rPr>
          <w:rFonts w:asciiTheme="minorHAnsi" w:hAnsiTheme="minorHAnsi" w:cstheme="minorHAnsi"/>
          <w:sz w:val="32"/>
          <w:szCs w:val="32"/>
        </w:rPr>
      </w:pPr>
      <w:r w:rsidRPr="003E17E3">
        <w:rPr>
          <w:rFonts w:asciiTheme="minorHAnsi" w:hAnsiTheme="minorHAnsi" w:cstheme="minorHAnsi"/>
          <w:sz w:val="32"/>
          <w:szCs w:val="32"/>
        </w:rPr>
        <w:t>Discussion</w:t>
      </w:r>
    </w:p>
    <w:p w14:paraId="154032CF" w14:textId="702DC2DF" w:rsidR="0060351F" w:rsidRPr="0060351F" w:rsidRDefault="007E0987" w:rsidP="0060351F">
      <w:hyperlink r:id="rId7" w:history="1">
        <w:r w:rsidR="0060351F" w:rsidRPr="0060351F">
          <w:rPr>
            <w:rStyle w:val="Hyperlink"/>
          </w:rPr>
          <w:t>R3-226004</w:t>
        </w:r>
      </w:hyperlink>
      <w:r w:rsidR="0060351F">
        <w:t xml:space="preserve"> </w:t>
      </w:r>
      <w:r w:rsidR="0060351F">
        <w:rPr>
          <w:rFonts w:asciiTheme="minorHAnsi" w:hAnsiTheme="minorHAnsi" w:cstheme="minorHAnsi"/>
          <w:iCs/>
          <w:sz w:val="22"/>
          <w:szCs w:val="22"/>
        </w:rPr>
        <w:t xml:space="preserve">was </w:t>
      </w:r>
      <w:r w:rsidR="0060351F" w:rsidRPr="0060351F">
        <w:rPr>
          <w:rFonts w:asciiTheme="minorHAnsi" w:hAnsiTheme="minorHAnsi" w:cstheme="minorHAnsi"/>
          <w:iCs/>
          <w:sz w:val="22"/>
          <w:szCs w:val="22"/>
        </w:rPr>
        <w:t xml:space="preserve">created </w:t>
      </w:r>
      <w:r w:rsidR="0060351F">
        <w:rPr>
          <w:rFonts w:asciiTheme="minorHAnsi" w:hAnsiTheme="minorHAnsi" w:cstheme="minorHAnsi"/>
          <w:iCs/>
          <w:sz w:val="22"/>
          <w:szCs w:val="22"/>
        </w:rPr>
        <w:t xml:space="preserve">last meeting </w:t>
      </w:r>
      <w:r w:rsidR="0060351F" w:rsidRPr="0060351F">
        <w:rPr>
          <w:rFonts w:asciiTheme="minorHAnsi" w:hAnsiTheme="minorHAnsi" w:cstheme="minorHAnsi"/>
          <w:iCs/>
          <w:sz w:val="22"/>
          <w:szCs w:val="22"/>
        </w:rPr>
        <w:t>summarizing all Rel-18 MRO scenarios</w:t>
      </w:r>
      <w:r w:rsidR="0060351F">
        <w:rPr>
          <w:rFonts w:asciiTheme="minorHAnsi" w:hAnsiTheme="minorHAnsi" w:cstheme="minorHAnsi"/>
          <w:iCs/>
          <w:sz w:val="22"/>
          <w:szCs w:val="22"/>
        </w:rPr>
        <w:t>.</w:t>
      </w:r>
    </w:p>
    <w:p w14:paraId="4FD44509" w14:textId="77777777" w:rsidR="0091565E" w:rsidRPr="003E17E3" w:rsidRDefault="006C0469" w:rsidP="0091565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sidRPr="003E17E3">
        <w:rPr>
          <w:rFonts w:asciiTheme="minorHAnsi" w:eastAsia="MS Mincho" w:hAnsiTheme="minorHAnsi" w:cstheme="minorHAnsi"/>
          <w:iCs/>
          <w:sz w:val="28"/>
          <w:szCs w:val="28"/>
          <w:lang w:eastAsia="ja-JP"/>
        </w:rPr>
        <w:t xml:space="preserve">MRO for </w:t>
      </w:r>
      <w:r w:rsidR="00390A7F" w:rsidRPr="003E17E3">
        <w:rPr>
          <w:rFonts w:asciiTheme="minorHAnsi" w:eastAsia="MS Mincho" w:hAnsiTheme="minorHAnsi" w:cstheme="minorHAnsi"/>
          <w:iCs/>
          <w:sz w:val="28"/>
          <w:szCs w:val="28"/>
          <w:lang w:eastAsia="ja-JP"/>
        </w:rPr>
        <w:t>CPAC</w:t>
      </w:r>
    </w:p>
    <w:p w14:paraId="0EE6F355" w14:textId="5AA3A3E2" w:rsidR="002E5D60" w:rsidRPr="00650B72" w:rsidRDefault="002E5D60" w:rsidP="00650B72">
      <w:pPr>
        <w:pBdr>
          <w:top w:val="single" w:sz="4" w:space="1" w:color="auto"/>
          <w:left w:val="single" w:sz="4" w:space="4" w:color="auto"/>
          <w:bottom w:val="single" w:sz="4" w:space="1" w:color="auto"/>
          <w:right w:val="single" w:sz="4" w:space="4" w:color="auto"/>
        </w:pBdr>
        <w:spacing w:after="0"/>
        <w:rPr>
          <w:rFonts w:asciiTheme="minorHAnsi" w:hAnsiTheme="minorHAnsi" w:cstheme="minorHAnsi"/>
          <w:i/>
          <w:color w:val="00B050"/>
          <w:sz w:val="22"/>
          <w:szCs w:val="22"/>
          <w:lang w:val="en-US"/>
        </w:rPr>
      </w:pPr>
      <w:r w:rsidRPr="00650B72">
        <w:rPr>
          <w:rFonts w:asciiTheme="minorHAnsi" w:hAnsiTheme="minorHAnsi" w:cstheme="minorHAnsi"/>
          <w:i/>
          <w:color w:val="00B050"/>
          <w:sz w:val="22"/>
          <w:szCs w:val="22"/>
          <w:lang w:val="en-US"/>
        </w:rPr>
        <w:t>Not consider too late CPA execution</w:t>
      </w:r>
    </w:p>
    <w:p w14:paraId="3B551400" w14:textId="28AFF43B" w:rsidR="002E5D60" w:rsidRPr="00650B72" w:rsidRDefault="002E5D60" w:rsidP="00650B72">
      <w:pPr>
        <w:pBdr>
          <w:top w:val="single" w:sz="4" w:space="1" w:color="auto"/>
          <w:left w:val="single" w:sz="4" w:space="4" w:color="auto"/>
          <w:bottom w:val="single" w:sz="4" w:space="1" w:color="auto"/>
          <w:right w:val="single" w:sz="4" w:space="4" w:color="auto"/>
        </w:pBdr>
        <w:spacing w:after="0"/>
        <w:rPr>
          <w:rFonts w:asciiTheme="minorHAnsi" w:hAnsiTheme="minorHAnsi" w:cstheme="minorHAnsi"/>
          <w:i/>
          <w:color w:val="00B050"/>
          <w:sz w:val="22"/>
          <w:szCs w:val="22"/>
          <w:lang w:val="en-US"/>
        </w:rPr>
      </w:pPr>
      <w:r w:rsidRPr="00650B72">
        <w:rPr>
          <w:rFonts w:asciiTheme="minorHAnsi" w:hAnsiTheme="minorHAnsi" w:cstheme="minorHAnsi"/>
          <w:i/>
          <w:color w:val="00B050"/>
          <w:sz w:val="22"/>
          <w:szCs w:val="22"/>
          <w:lang w:val="en-US"/>
        </w:rPr>
        <w:t>CPA Execution to wrong PSCell will be considered</w:t>
      </w:r>
    </w:p>
    <w:p w14:paraId="49ED0BEE" w14:textId="7B4445A7" w:rsidR="002E5D60" w:rsidRPr="00650B72" w:rsidRDefault="002E5D60" w:rsidP="00650B72">
      <w:pPr>
        <w:pBdr>
          <w:top w:val="single" w:sz="4" w:space="1" w:color="auto"/>
          <w:left w:val="single" w:sz="4" w:space="4" w:color="auto"/>
          <w:bottom w:val="single" w:sz="4" w:space="1" w:color="auto"/>
          <w:right w:val="single" w:sz="4" w:space="4" w:color="auto"/>
        </w:pBdr>
        <w:spacing w:after="0"/>
        <w:rPr>
          <w:rFonts w:asciiTheme="minorHAnsi" w:hAnsiTheme="minorHAnsi" w:cstheme="minorHAnsi"/>
          <w:i/>
          <w:color w:val="00B050"/>
          <w:sz w:val="22"/>
          <w:szCs w:val="22"/>
          <w:lang w:val="en-US"/>
        </w:rPr>
      </w:pPr>
      <w:r w:rsidRPr="00650B72">
        <w:rPr>
          <w:rFonts w:asciiTheme="minorHAnsi" w:hAnsiTheme="minorHAnsi" w:cstheme="minorHAnsi"/>
          <w:i/>
          <w:color w:val="00B050"/>
          <w:sz w:val="22"/>
          <w:szCs w:val="22"/>
          <w:lang w:val="en-US"/>
        </w:rPr>
        <w:t xml:space="preserve">Too Late CPC Execution, Too Early CPC Execution and CPC Execution to wrong PSCell will be considered: </w:t>
      </w:r>
    </w:p>
    <w:p w14:paraId="1011DC97" w14:textId="212FC8B1" w:rsidR="0005263E" w:rsidRPr="0005263E" w:rsidRDefault="0005263E" w:rsidP="0005263E">
      <w:pPr>
        <w:pBdr>
          <w:top w:val="single" w:sz="4" w:space="1" w:color="auto"/>
          <w:left w:val="single" w:sz="4" w:space="4" w:color="auto"/>
          <w:bottom w:val="single" w:sz="4" w:space="1" w:color="auto"/>
          <w:right w:val="single" w:sz="4" w:space="4" w:color="auto"/>
        </w:pBdr>
        <w:spacing w:after="0"/>
        <w:rPr>
          <w:rFonts w:asciiTheme="minorHAnsi" w:hAnsiTheme="minorHAnsi" w:cstheme="minorHAnsi"/>
          <w:i/>
          <w:color w:val="0070C0"/>
          <w:sz w:val="22"/>
          <w:szCs w:val="22"/>
        </w:rPr>
      </w:pPr>
      <w:r w:rsidRPr="0005263E">
        <w:rPr>
          <w:rFonts w:asciiTheme="minorHAnsi" w:hAnsiTheme="minorHAnsi" w:cstheme="minorHAnsi"/>
          <w:i/>
          <w:color w:val="0070C0"/>
          <w:sz w:val="22"/>
          <w:szCs w:val="22"/>
        </w:rPr>
        <w:t>Whether to consider Too Early CPA Execution</w:t>
      </w:r>
    </w:p>
    <w:p w14:paraId="2A5C8613" w14:textId="77777777" w:rsidR="0005263E" w:rsidRPr="0005263E" w:rsidRDefault="0005263E" w:rsidP="0005263E">
      <w:pPr>
        <w:pBdr>
          <w:top w:val="single" w:sz="4" w:space="1" w:color="auto"/>
          <w:left w:val="single" w:sz="4" w:space="4" w:color="auto"/>
          <w:bottom w:val="single" w:sz="4" w:space="1" w:color="auto"/>
          <w:right w:val="single" w:sz="4" w:space="4" w:color="auto"/>
        </w:pBdr>
        <w:spacing w:after="0"/>
        <w:rPr>
          <w:rFonts w:asciiTheme="minorHAnsi" w:hAnsiTheme="minorHAnsi" w:cstheme="minorHAnsi"/>
          <w:i/>
          <w:color w:val="0070C0"/>
          <w:sz w:val="22"/>
          <w:szCs w:val="22"/>
        </w:rPr>
      </w:pPr>
      <w:r w:rsidRPr="0005263E">
        <w:rPr>
          <w:rFonts w:asciiTheme="minorHAnsi" w:hAnsiTheme="minorHAnsi" w:cstheme="minorHAnsi"/>
          <w:i/>
          <w:color w:val="0070C0"/>
          <w:sz w:val="22"/>
          <w:szCs w:val="22"/>
        </w:rPr>
        <w:t>Enhancements of SCG failure related information reported from the UE for MRO for CPAC</w:t>
      </w:r>
    </w:p>
    <w:p w14:paraId="3A904864" w14:textId="77777777" w:rsidR="0005263E" w:rsidRPr="0005263E" w:rsidRDefault="0005263E" w:rsidP="0005263E">
      <w:pPr>
        <w:pBdr>
          <w:top w:val="single" w:sz="4" w:space="1" w:color="auto"/>
          <w:left w:val="single" w:sz="4" w:space="4" w:color="auto"/>
          <w:bottom w:val="single" w:sz="4" w:space="1" w:color="auto"/>
          <w:right w:val="single" w:sz="4" w:space="4" w:color="auto"/>
        </w:pBdr>
        <w:spacing w:after="0"/>
        <w:rPr>
          <w:rFonts w:asciiTheme="minorHAnsi" w:hAnsiTheme="minorHAnsi" w:cstheme="minorHAnsi"/>
          <w:i/>
          <w:color w:val="0070C0"/>
          <w:sz w:val="22"/>
          <w:szCs w:val="22"/>
        </w:rPr>
      </w:pPr>
      <w:r w:rsidRPr="0005263E">
        <w:rPr>
          <w:rFonts w:asciiTheme="minorHAnsi" w:hAnsiTheme="minorHAnsi" w:cstheme="minorHAnsi"/>
          <w:i/>
          <w:color w:val="0070C0"/>
          <w:sz w:val="22"/>
          <w:szCs w:val="22"/>
        </w:rPr>
        <w:t>Xn interface impacts to support MRO for CPAC</w:t>
      </w:r>
    </w:p>
    <w:p w14:paraId="38DFF515" w14:textId="4C35F4BA" w:rsidR="00303577" w:rsidRPr="0005263E" w:rsidRDefault="0005263E" w:rsidP="0005263E">
      <w:pPr>
        <w:pBdr>
          <w:top w:val="single" w:sz="4" w:space="1" w:color="auto"/>
          <w:left w:val="single" w:sz="4" w:space="4" w:color="auto"/>
          <w:bottom w:val="single" w:sz="4" w:space="1" w:color="auto"/>
          <w:right w:val="single" w:sz="4" w:space="4" w:color="auto"/>
        </w:pBdr>
        <w:spacing w:after="0"/>
        <w:rPr>
          <w:rFonts w:asciiTheme="minorHAnsi" w:hAnsiTheme="minorHAnsi" w:cstheme="minorHAnsi"/>
          <w:i/>
          <w:color w:val="0070C0"/>
          <w:sz w:val="22"/>
          <w:szCs w:val="22"/>
        </w:rPr>
      </w:pPr>
      <w:r w:rsidRPr="0005263E">
        <w:rPr>
          <w:rFonts w:asciiTheme="minorHAnsi" w:hAnsiTheme="minorHAnsi" w:cstheme="minorHAnsi"/>
          <w:i/>
          <w:color w:val="0070C0"/>
          <w:sz w:val="22"/>
          <w:szCs w:val="22"/>
        </w:rPr>
        <w:t>Whether/how to support UHI for CPAC</w:t>
      </w:r>
    </w:p>
    <w:p w14:paraId="754E27D4" w14:textId="51DE77AE" w:rsidR="0005263E" w:rsidRDefault="0005263E" w:rsidP="00605DFF">
      <w:pPr>
        <w:spacing w:after="0"/>
        <w:rPr>
          <w:rFonts w:asciiTheme="minorHAnsi" w:hAnsiTheme="minorHAnsi" w:cstheme="minorHAnsi"/>
          <w:iCs/>
          <w:sz w:val="22"/>
          <w:szCs w:val="22"/>
        </w:rPr>
      </w:pPr>
    </w:p>
    <w:p w14:paraId="5EA22F2B" w14:textId="4191101C" w:rsidR="001D5888" w:rsidRPr="00596B14" w:rsidRDefault="001D5888" w:rsidP="00605DFF">
      <w:pPr>
        <w:spacing w:after="0"/>
        <w:rPr>
          <w:rFonts w:asciiTheme="minorHAnsi" w:hAnsiTheme="minorHAnsi" w:cstheme="minorHAnsi"/>
          <w:iCs/>
          <w:sz w:val="22"/>
          <w:szCs w:val="22"/>
        </w:rPr>
      </w:pPr>
      <w:r w:rsidRPr="001D5888">
        <w:rPr>
          <w:rFonts w:ascii="Calibri" w:eastAsia="Times New Roman" w:hAnsi="Calibri" w:cs="Calibri"/>
          <w:sz w:val="22"/>
          <w:szCs w:val="22"/>
          <w:lang w:val="en-US"/>
        </w:rPr>
        <w:t xml:space="preserve">In </w:t>
      </w:r>
      <w:hyperlink r:id="rId8" w:history="1">
        <w:r w:rsidRPr="0060351F">
          <w:rPr>
            <w:rStyle w:val="Hyperlink"/>
          </w:rPr>
          <w:t>R3-226004</w:t>
        </w:r>
      </w:hyperlink>
      <w:r>
        <w:t xml:space="preserve">, </w:t>
      </w:r>
      <w:r w:rsidRPr="001D5888">
        <w:rPr>
          <w:rFonts w:ascii="Calibri" w:eastAsia="Times New Roman" w:hAnsi="Calibri" w:cs="Calibri"/>
          <w:sz w:val="22"/>
          <w:szCs w:val="22"/>
          <w:lang w:val="en-US"/>
        </w:rPr>
        <w:t xml:space="preserve">the following is defined for </w:t>
      </w:r>
      <w:r w:rsidRPr="001D5888">
        <w:rPr>
          <w:rFonts w:ascii="Calibri" w:eastAsia="Times New Roman" w:hAnsi="Calibri" w:cs="Calibri"/>
          <w:b/>
          <w:bCs/>
          <w:sz w:val="22"/>
          <w:szCs w:val="22"/>
          <w:u w:val="single"/>
          <w:lang w:val="en-US"/>
        </w:rPr>
        <w:t>Too Early CPA execution</w:t>
      </w:r>
    </w:p>
    <w:p w14:paraId="792CFD39" w14:textId="16EFACE6" w:rsidR="00E302DD" w:rsidRPr="001D5888" w:rsidRDefault="00E302DD" w:rsidP="001D5888">
      <w:pPr>
        <w:pStyle w:val="ListParagraph"/>
        <w:numPr>
          <w:ilvl w:val="0"/>
          <w:numId w:val="26"/>
        </w:numPr>
        <w:spacing w:after="0"/>
        <w:textAlignment w:val="center"/>
        <w:rPr>
          <w:rFonts w:ascii="Calibri" w:eastAsia="Times New Roman" w:hAnsi="Calibri" w:cs="Calibri"/>
          <w:sz w:val="22"/>
          <w:szCs w:val="22"/>
          <w:lang w:val="en-US"/>
        </w:rPr>
      </w:pPr>
      <w:r w:rsidRPr="001D5888">
        <w:rPr>
          <w:rFonts w:ascii="Calibri" w:eastAsia="Times New Roman" w:hAnsi="Calibri" w:cs="Calibri"/>
          <w:sz w:val="22"/>
          <w:szCs w:val="22"/>
          <w:lang w:val="en-US"/>
        </w:rPr>
        <w:t>UE receives CPA configuration and CPA execution condition is satisfied, but CPA execution fails or an SCG failure occurs shortly after a successful CPA execution; no suitable PSCell is found based on the measurements reported from the UE</w:t>
      </w:r>
    </w:p>
    <w:p w14:paraId="72A8E4A6" w14:textId="1C9F610B" w:rsidR="00E302DD" w:rsidRDefault="00E302DD" w:rsidP="001676E7">
      <w:pPr>
        <w:spacing w:after="0"/>
        <w:rPr>
          <w:rFonts w:ascii="Calibri" w:eastAsia="Times New Roman" w:hAnsi="Calibri" w:cs="Calibri"/>
          <w:b/>
          <w:bCs/>
          <w:sz w:val="22"/>
          <w:szCs w:val="22"/>
          <w:lang w:val="en-US"/>
        </w:rPr>
      </w:pPr>
    </w:p>
    <w:p w14:paraId="295AAB61" w14:textId="159072D4" w:rsidR="001D5888" w:rsidRPr="001D5888" w:rsidRDefault="005A19AB" w:rsidP="001676E7">
      <w:pPr>
        <w:spacing w:after="0"/>
        <w:rPr>
          <w:rFonts w:ascii="Calibri" w:eastAsia="Times New Roman" w:hAnsi="Calibri" w:cs="Calibri"/>
          <w:sz w:val="22"/>
          <w:szCs w:val="22"/>
          <w:lang w:val="en-US"/>
        </w:rPr>
      </w:pPr>
      <w:r w:rsidRPr="005A19AB">
        <w:rPr>
          <w:rFonts w:ascii="Calibri" w:eastAsia="Times New Roman" w:hAnsi="Calibri" w:cs="Calibri"/>
          <w:b/>
          <w:bCs/>
          <w:sz w:val="22"/>
          <w:szCs w:val="22"/>
          <w:lang w:val="en-US"/>
        </w:rPr>
        <w:t>Observation</w:t>
      </w:r>
      <w:r w:rsidR="00F23594">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w:t>
      </w:r>
      <w:r w:rsidR="001D5888" w:rsidRPr="001D5888">
        <w:rPr>
          <w:rFonts w:ascii="Calibri" w:eastAsia="Times New Roman" w:hAnsi="Calibri" w:cs="Calibri"/>
          <w:sz w:val="22"/>
          <w:szCs w:val="22"/>
          <w:lang w:val="en-US"/>
        </w:rPr>
        <w:t xml:space="preserve">It is not clear what is meant by </w:t>
      </w:r>
      <w:r w:rsidR="00AC488C">
        <w:rPr>
          <w:rFonts w:ascii="Calibri" w:eastAsia="Times New Roman" w:hAnsi="Calibri" w:cs="Calibri"/>
          <w:sz w:val="22"/>
          <w:szCs w:val="22"/>
          <w:lang w:val="en-US"/>
        </w:rPr>
        <w:t>“</w:t>
      </w:r>
      <w:r w:rsidR="001D5888" w:rsidRPr="001D5888">
        <w:rPr>
          <w:rFonts w:ascii="Calibri" w:eastAsia="Times New Roman" w:hAnsi="Calibri" w:cs="Calibri"/>
          <w:sz w:val="22"/>
          <w:szCs w:val="22"/>
          <w:lang w:val="en-US"/>
        </w:rPr>
        <w:t>no suitable PSCell is found</w:t>
      </w:r>
      <w:r w:rsidR="00F23594">
        <w:rPr>
          <w:rFonts w:ascii="Calibri" w:eastAsia="Times New Roman" w:hAnsi="Calibri" w:cs="Calibri"/>
          <w:sz w:val="22"/>
          <w:szCs w:val="22"/>
          <w:lang w:val="en-US"/>
        </w:rPr>
        <w:t>” in the definition of Too Early CPA Execution.</w:t>
      </w:r>
    </w:p>
    <w:p w14:paraId="6324CBAB" w14:textId="77777777" w:rsidR="001D5888" w:rsidRDefault="001D5888" w:rsidP="001676E7">
      <w:pPr>
        <w:spacing w:after="0"/>
        <w:rPr>
          <w:rFonts w:ascii="Calibri" w:eastAsia="Times New Roman" w:hAnsi="Calibri" w:cs="Calibri"/>
          <w:b/>
          <w:bCs/>
          <w:sz w:val="22"/>
          <w:szCs w:val="22"/>
          <w:lang w:val="en-US"/>
        </w:rPr>
      </w:pPr>
    </w:p>
    <w:p w14:paraId="0F350A8B" w14:textId="376AEE4D" w:rsidR="001676E7" w:rsidRPr="001676E7" w:rsidRDefault="001676E7" w:rsidP="001676E7">
      <w:pPr>
        <w:spacing w:after="0"/>
        <w:rPr>
          <w:rFonts w:ascii="Calibri" w:eastAsia="Times New Roman" w:hAnsi="Calibri" w:cs="Calibri"/>
          <w:sz w:val="22"/>
          <w:szCs w:val="22"/>
          <w:lang w:val="en-US"/>
        </w:rPr>
      </w:pPr>
      <w:r w:rsidRPr="001676E7">
        <w:rPr>
          <w:rFonts w:ascii="Calibri" w:eastAsia="Times New Roman" w:hAnsi="Calibri" w:cs="Calibri"/>
          <w:b/>
          <w:bCs/>
          <w:sz w:val="22"/>
          <w:szCs w:val="22"/>
          <w:lang w:val="en-US"/>
        </w:rPr>
        <w:t>Proposal 1</w:t>
      </w:r>
      <w:r w:rsidRPr="001676E7">
        <w:rPr>
          <w:rFonts w:ascii="Calibri" w:eastAsia="Times New Roman" w:hAnsi="Calibri" w:cs="Calibri"/>
          <w:sz w:val="22"/>
          <w:szCs w:val="22"/>
          <w:lang w:val="en-US"/>
        </w:rPr>
        <w:t xml:space="preserve">: There is no need to consider </w:t>
      </w:r>
      <w:r w:rsidRPr="001D5888">
        <w:rPr>
          <w:rFonts w:ascii="Calibri" w:eastAsia="Times New Roman" w:hAnsi="Calibri" w:cs="Calibri"/>
          <w:sz w:val="22"/>
          <w:szCs w:val="22"/>
          <w:lang w:val="en-US"/>
        </w:rPr>
        <w:t>Too Early CPA Execution</w:t>
      </w:r>
    </w:p>
    <w:p w14:paraId="7EC48EE3" w14:textId="77777777" w:rsidR="001676E7" w:rsidRPr="001676E7" w:rsidRDefault="001676E7" w:rsidP="001676E7">
      <w:pPr>
        <w:spacing w:after="0"/>
        <w:rPr>
          <w:rFonts w:ascii="Calibri" w:eastAsia="Times New Roman" w:hAnsi="Calibri" w:cs="Calibri"/>
          <w:sz w:val="22"/>
          <w:szCs w:val="22"/>
          <w:lang w:val="en-US"/>
        </w:rPr>
      </w:pPr>
      <w:r w:rsidRPr="001676E7">
        <w:rPr>
          <w:rFonts w:ascii="Calibri" w:eastAsia="Times New Roman" w:hAnsi="Calibri" w:cs="Calibri"/>
          <w:sz w:val="22"/>
          <w:szCs w:val="22"/>
          <w:lang w:val="en-US"/>
        </w:rPr>
        <w:t> </w:t>
      </w:r>
    </w:p>
    <w:p w14:paraId="35348EC1" w14:textId="040281FF" w:rsidR="005541E9" w:rsidRPr="00596B14" w:rsidRDefault="005541E9" w:rsidP="005541E9">
      <w:pPr>
        <w:spacing w:after="0"/>
        <w:rPr>
          <w:rFonts w:asciiTheme="minorHAnsi" w:hAnsiTheme="minorHAnsi" w:cstheme="minorHAnsi"/>
          <w:iCs/>
          <w:sz w:val="22"/>
          <w:szCs w:val="22"/>
        </w:rPr>
      </w:pPr>
      <w:r w:rsidRPr="00596B14">
        <w:rPr>
          <w:rFonts w:asciiTheme="minorHAnsi" w:hAnsiTheme="minorHAnsi" w:cstheme="minorHAnsi"/>
          <w:iCs/>
          <w:sz w:val="22"/>
          <w:szCs w:val="22"/>
        </w:rPr>
        <w:t>In each of the failure types</w:t>
      </w:r>
      <w:r w:rsidR="009F2F17">
        <w:rPr>
          <w:rFonts w:asciiTheme="minorHAnsi" w:hAnsiTheme="minorHAnsi" w:cstheme="minorHAnsi"/>
          <w:iCs/>
          <w:sz w:val="22"/>
          <w:szCs w:val="22"/>
        </w:rPr>
        <w:t xml:space="preserve"> (Too </w:t>
      </w:r>
      <w:r w:rsidR="009A257D">
        <w:rPr>
          <w:rFonts w:asciiTheme="minorHAnsi" w:hAnsiTheme="minorHAnsi" w:cstheme="minorHAnsi"/>
          <w:iCs/>
          <w:sz w:val="22"/>
          <w:szCs w:val="22"/>
        </w:rPr>
        <w:t>L</w:t>
      </w:r>
      <w:r w:rsidR="009F2F17">
        <w:rPr>
          <w:rFonts w:asciiTheme="minorHAnsi" w:hAnsiTheme="minorHAnsi" w:cstheme="minorHAnsi"/>
          <w:iCs/>
          <w:sz w:val="22"/>
          <w:szCs w:val="22"/>
        </w:rPr>
        <w:t>ate</w:t>
      </w:r>
      <w:r w:rsidR="009A257D">
        <w:rPr>
          <w:rFonts w:asciiTheme="minorHAnsi" w:hAnsiTheme="minorHAnsi" w:cstheme="minorHAnsi"/>
          <w:iCs/>
          <w:sz w:val="22"/>
          <w:szCs w:val="22"/>
        </w:rPr>
        <w:t xml:space="preserve"> CPC Execution</w:t>
      </w:r>
      <w:r w:rsidR="009F2F17">
        <w:rPr>
          <w:rFonts w:asciiTheme="minorHAnsi" w:hAnsiTheme="minorHAnsi" w:cstheme="minorHAnsi"/>
          <w:iCs/>
          <w:sz w:val="22"/>
          <w:szCs w:val="22"/>
        </w:rPr>
        <w:t xml:space="preserve">/Too </w:t>
      </w:r>
      <w:r w:rsidR="009A257D">
        <w:rPr>
          <w:rFonts w:asciiTheme="minorHAnsi" w:hAnsiTheme="minorHAnsi" w:cstheme="minorHAnsi"/>
          <w:iCs/>
          <w:sz w:val="22"/>
          <w:szCs w:val="22"/>
        </w:rPr>
        <w:t>E</w:t>
      </w:r>
      <w:r w:rsidR="009F2F17">
        <w:rPr>
          <w:rFonts w:asciiTheme="minorHAnsi" w:hAnsiTheme="minorHAnsi" w:cstheme="minorHAnsi"/>
          <w:iCs/>
          <w:sz w:val="22"/>
          <w:szCs w:val="22"/>
        </w:rPr>
        <w:t>arly</w:t>
      </w:r>
      <w:r w:rsidR="009A257D">
        <w:rPr>
          <w:rFonts w:asciiTheme="minorHAnsi" w:hAnsiTheme="minorHAnsi" w:cstheme="minorHAnsi"/>
          <w:iCs/>
          <w:sz w:val="22"/>
          <w:szCs w:val="22"/>
        </w:rPr>
        <w:t xml:space="preserve"> CPC Execution</w:t>
      </w:r>
      <w:r w:rsidR="009F2F17">
        <w:rPr>
          <w:rFonts w:asciiTheme="minorHAnsi" w:hAnsiTheme="minorHAnsi" w:cstheme="minorHAnsi"/>
          <w:iCs/>
          <w:sz w:val="22"/>
          <w:szCs w:val="22"/>
        </w:rPr>
        <w:t>/</w:t>
      </w:r>
      <w:r w:rsidR="009A257D">
        <w:rPr>
          <w:rFonts w:asciiTheme="minorHAnsi" w:hAnsiTheme="minorHAnsi" w:cstheme="minorHAnsi"/>
          <w:iCs/>
          <w:sz w:val="22"/>
          <w:szCs w:val="22"/>
        </w:rPr>
        <w:t xml:space="preserve">CPC Execution to </w:t>
      </w:r>
      <w:r w:rsidR="009F2F17">
        <w:rPr>
          <w:rFonts w:asciiTheme="minorHAnsi" w:hAnsiTheme="minorHAnsi" w:cstheme="minorHAnsi"/>
          <w:iCs/>
          <w:sz w:val="22"/>
          <w:szCs w:val="22"/>
        </w:rPr>
        <w:t>wrong PSCell</w:t>
      </w:r>
      <w:r w:rsidR="009A257D">
        <w:rPr>
          <w:rFonts w:asciiTheme="minorHAnsi" w:hAnsiTheme="minorHAnsi" w:cstheme="minorHAnsi"/>
          <w:iCs/>
          <w:sz w:val="22"/>
          <w:szCs w:val="22"/>
        </w:rPr>
        <w:t>/CPA Execution to wrong PSCell</w:t>
      </w:r>
      <w:r w:rsidR="009F2F17">
        <w:rPr>
          <w:rFonts w:asciiTheme="minorHAnsi" w:hAnsiTheme="minorHAnsi" w:cstheme="minorHAnsi"/>
          <w:iCs/>
          <w:sz w:val="22"/>
          <w:szCs w:val="22"/>
        </w:rPr>
        <w:t xml:space="preserve">), </w:t>
      </w:r>
      <w:r w:rsidRPr="00596B14">
        <w:rPr>
          <w:rFonts w:asciiTheme="minorHAnsi" w:hAnsiTheme="minorHAnsi" w:cstheme="minorHAnsi"/>
          <w:iCs/>
          <w:sz w:val="22"/>
          <w:szCs w:val="22"/>
        </w:rPr>
        <w:t xml:space="preserve">it is possible that the network did not prepare the right set of candidate PSCells or defined inappropriate execution conditions for CPA/CPC which resulted in an SCG failure. It is therefore </w:t>
      </w:r>
      <w:r w:rsidR="009A257D">
        <w:rPr>
          <w:rFonts w:asciiTheme="minorHAnsi" w:hAnsiTheme="minorHAnsi" w:cstheme="minorHAnsi"/>
          <w:iCs/>
          <w:sz w:val="22"/>
          <w:szCs w:val="22"/>
        </w:rPr>
        <w:t xml:space="preserve">important </w:t>
      </w:r>
      <w:r w:rsidRPr="00596B14">
        <w:rPr>
          <w:rFonts w:asciiTheme="minorHAnsi" w:hAnsiTheme="minorHAnsi" w:cstheme="minorHAnsi"/>
          <w:iCs/>
          <w:sz w:val="22"/>
          <w:szCs w:val="22"/>
        </w:rPr>
        <w:t>to optimize the set of candidate PSCells and execution conditions during CPA/CPC.</w:t>
      </w:r>
    </w:p>
    <w:p w14:paraId="3C554300" w14:textId="77777777" w:rsidR="005541E9" w:rsidRPr="00596B14" w:rsidRDefault="005541E9" w:rsidP="005541E9">
      <w:pPr>
        <w:spacing w:after="0"/>
        <w:rPr>
          <w:rFonts w:asciiTheme="minorHAnsi" w:hAnsiTheme="minorHAnsi" w:cstheme="minorHAnsi"/>
          <w:iCs/>
          <w:sz w:val="22"/>
          <w:szCs w:val="22"/>
        </w:rPr>
      </w:pPr>
    </w:p>
    <w:p w14:paraId="2DF83C61" w14:textId="1DF14E2A" w:rsidR="005541E9" w:rsidRPr="00596B14" w:rsidRDefault="005541E9" w:rsidP="005541E9">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2</w:t>
      </w:r>
      <w:r w:rsidRPr="00596B14">
        <w:rPr>
          <w:rFonts w:asciiTheme="minorHAnsi" w:hAnsiTheme="minorHAnsi" w:cstheme="minorHAnsi"/>
          <w:iCs/>
          <w:sz w:val="22"/>
          <w:szCs w:val="22"/>
        </w:rPr>
        <w:t xml:space="preserve">: RAN3 should discuss </w:t>
      </w:r>
      <w:r w:rsidR="00C805C5">
        <w:rPr>
          <w:rFonts w:asciiTheme="minorHAnsi" w:hAnsiTheme="minorHAnsi" w:cstheme="minorHAnsi"/>
          <w:iCs/>
          <w:sz w:val="22"/>
          <w:szCs w:val="22"/>
        </w:rPr>
        <w:t>whether a network-based solution can be defined</w:t>
      </w:r>
      <w:r w:rsidRPr="00596B14">
        <w:rPr>
          <w:rFonts w:asciiTheme="minorHAnsi" w:hAnsiTheme="minorHAnsi" w:cstheme="minorHAnsi"/>
          <w:iCs/>
          <w:sz w:val="22"/>
          <w:szCs w:val="22"/>
        </w:rPr>
        <w:t xml:space="preserve"> to optimize the set of candidate PSCells and execution conditions during CPA/CPC</w:t>
      </w:r>
    </w:p>
    <w:p w14:paraId="273125DD" w14:textId="77777777" w:rsidR="005541E9" w:rsidRPr="00596B14" w:rsidRDefault="005541E9" w:rsidP="005541E9">
      <w:pPr>
        <w:spacing w:after="0"/>
        <w:rPr>
          <w:rFonts w:asciiTheme="minorHAnsi" w:hAnsiTheme="minorHAnsi" w:cstheme="minorHAnsi"/>
          <w:iCs/>
          <w:sz w:val="22"/>
          <w:szCs w:val="22"/>
        </w:rPr>
      </w:pPr>
    </w:p>
    <w:p w14:paraId="238653D9" w14:textId="055CEA58" w:rsidR="005541E9" w:rsidRPr="00596B14" w:rsidRDefault="005541E9" w:rsidP="005541E9">
      <w:pPr>
        <w:spacing w:after="0"/>
        <w:rPr>
          <w:rFonts w:asciiTheme="minorHAnsi" w:hAnsiTheme="minorHAnsi" w:cstheme="minorHAnsi"/>
          <w:iCs/>
          <w:sz w:val="22"/>
          <w:szCs w:val="22"/>
        </w:rPr>
      </w:pPr>
      <w:r w:rsidRPr="00596B14">
        <w:rPr>
          <w:rFonts w:asciiTheme="minorHAnsi" w:hAnsiTheme="minorHAnsi" w:cstheme="minorHAnsi"/>
          <w:b/>
          <w:bCs/>
          <w:iCs/>
          <w:sz w:val="22"/>
          <w:szCs w:val="22"/>
        </w:rPr>
        <w:lastRenderedPageBreak/>
        <w:t xml:space="preserve">Observation </w:t>
      </w:r>
      <w:r w:rsidR="003359A7">
        <w:rPr>
          <w:rFonts w:asciiTheme="minorHAnsi" w:hAnsiTheme="minorHAnsi" w:cstheme="minorHAnsi"/>
          <w:b/>
          <w:bCs/>
          <w:iCs/>
          <w:sz w:val="22"/>
          <w:szCs w:val="22"/>
        </w:rPr>
        <w:t>1</w:t>
      </w:r>
      <w:r w:rsidRPr="00596B14">
        <w:rPr>
          <w:rFonts w:asciiTheme="minorHAnsi" w:hAnsiTheme="minorHAnsi" w:cstheme="minorHAnsi"/>
          <w:iCs/>
          <w:sz w:val="22"/>
          <w:szCs w:val="22"/>
        </w:rPr>
        <w:t>: Rel-17 supports different CPC procedures such as MN initiated inter-SN CPC, SN initiated inter-SN CPC and intra-SN CPC without MN involvement</w:t>
      </w:r>
    </w:p>
    <w:p w14:paraId="734B6706" w14:textId="77777777" w:rsidR="005541E9" w:rsidRPr="00596B14" w:rsidRDefault="005541E9" w:rsidP="005541E9">
      <w:pPr>
        <w:spacing w:after="0"/>
        <w:rPr>
          <w:rFonts w:asciiTheme="minorHAnsi" w:hAnsiTheme="minorHAnsi" w:cstheme="minorHAnsi"/>
          <w:iCs/>
          <w:sz w:val="22"/>
          <w:szCs w:val="22"/>
        </w:rPr>
      </w:pPr>
    </w:p>
    <w:p w14:paraId="2EBC3E0D" w14:textId="77777777" w:rsidR="005541E9" w:rsidRPr="00596B14" w:rsidRDefault="005541E9" w:rsidP="005541E9">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MN initiated inter-SN CPC</w:t>
      </w:r>
    </w:p>
    <w:p w14:paraId="06A54FB8" w14:textId="77777777" w:rsidR="005541E9" w:rsidRPr="00596B14" w:rsidRDefault="005541E9" w:rsidP="005541E9">
      <w:pPr>
        <w:spacing w:after="0"/>
        <w:rPr>
          <w:rFonts w:asciiTheme="minorHAnsi" w:hAnsiTheme="minorHAnsi" w:cstheme="minorHAnsi"/>
          <w:iCs/>
          <w:sz w:val="22"/>
          <w:szCs w:val="22"/>
        </w:rPr>
      </w:pPr>
    </w:p>
    <w:p w14:paraId="0EEFF4E7" w14:textId="77777777" w:rsidR="005541E9" w:rsidRPr="00596B14" w:rsidRDefault="005541E9" w:rsidP="005541E9">
      <w:pPr>
        <w:pStyle w:val="ListParagraph"/>
        <w:numPr>
          <w:ilvl w:val="0"/>
          <w:numId w:val="8"/>
        </w:numPr>
        <w:spacing w:after="0"/>
        <w:rPr>
          <w:rFonts w:asciiTheme="minorHAnsi" w:hAnsiTheme="minorHAnsi" w:cstheme="minorHAnsi"/>
          <w:iCs/>
          <w:sz w:val="22"/>
          <w:szCs w:val="22"/>
        </w:rPr>
      </w:pPr>
      <w:r w:rsidRPr="00596B14">
        <w:rPr>
          <w:rFonts w:asciiTheme="minorHAnsi" w:hAnsiTheme="minorHAnsi" w:cstheme="minorHAnsi"/>
          <w:iCs/>
          <w:sz w:val="22"/>
          <w:szCs w:val="22"/>
        </w:rPr>
        <w:t>MN generates the CPC execution conditions and is also aware of the set of prepared PSCells by each candidate T-SN (via CG-CandidateList)</w:t>
      </w:r>
    </w:p>
    <w:p w14:paraId="2692F818" w14:textId="77777777" w:rsidR="005541E9" w:rsidRPr="00596B14" w:rsidRDefault="005541E9" w:rsidP="005541E9">
      <w:pPr>
        <w:spacing w:after="0"/>
        <w:rPr>
          <w:rFonts w:asciiTheme="minorHAnsi" w:hAnsiTheme="minorHAnsi" w:cstheme="minorHAnsi"/>
          <w:iCs/>
          <w:sz w:val="22"/>
          <w:szCs w:val="22"/>
        </w:rPr>
      </w:pPr>
    </w:p>
    <w:p w14:paraId="6F4470B4" w14:textId="77777777" w:rsidR="005541E9" w:rsidRPr="00596B14" w:rsidRDefault="005541E9" w:rsidP="005541E9">
      <w:pPr>
        <w:pStyle w:val="ListParagraph"/>
        <w:numPr>
          <w:ilvl w:val="0"/>
          <w:numId w:val="8"/>
        </w:numPr>
        <w:spacing w:after="0"/>
        <w:rPr>
          <w:rFonts w:asciiTheme="minorHAnsi" w:hAnsiTheme="minorHAnsi" w:cstheme="minorHAnsi"/>
          <w:iCs/>
          <w:sz w:val="22"/>
          <w:szCs w:val="22"/>
        </w:rPr>
      </w:pPr>
      <w:r w:rsidRPr="00596B14">
        <w:rPr>
          <w:rFonts w:asciiTheme="minorHAnsi" w:hAnsiTheme="minorHAnsi" w:cstheme="minorHAnsi"/>
          <w:iCs/>
          <w:sz w:val="22"/>
          <w:szCs w:val="22"/>
        </w:rPr>
        <w:t>MN should perform the root cause analysis after receiving SCGFailureInformation from UE</w:t>
      </w:r>
    </w:p>
    <w:p w14:paraId="2FA4AE3D" w14:textId="77777777" w:rsidR="005541E9" w:rsidRPr="00596B14" w:rsidRDefault="005541E9" w:rsidP="005541E9">
      <w:pPr>
        <w:spacing w:after="0"/>
        <w:rPr>
          <w:rFonts w:asciiTheme="minorHAnsi" w:hAnsiTheme="minorHAnsi" w:cstheme="minorHAnsi"/>
          <w:iCs/>
          <w:sz w:val="22"/>
          <w:szCs w:val="22"/>
        </w:rPr>
      </w:pPr>
    </w:p>
    <w:p w14:paraId="5BBD35F2" w14:textId="77777777" w:rsidR="005541E9" w:rsidRPr="00596B14" w:rsidRDefault="005541E9" w:rsidP="005541E9">
      <w:pPr>
        <w:spacing w:after="0"/>
        <w:rPr>
          <w:rFonts w:asciiTheme="minorHAnsi" w:hAnsiTheme="minorHAnsi" w:cstheme="minorHAnsi"/>
          <w:iCs/>
          <w:sz w:val="22"/>
          <w:szCs w:val="22"/>
        </w:rPr>
      </w:pPr>
    </w:p>
    <w:p w14:paraId="04CB7250" w14:textId="77777777" w:rsidR="005541E9" w:rsidRPr="00596B14" w:rsidRDefault="005541E9" w:rsidP="005541E9">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SN initiated inter-SN CPC</w:t>
      </w:r>
    </w:p>
    <w:p w14:paraId="0BED2209" w14:textId="77777777" w:rsidR="005541E9" w:rsidRPr="00596B14" w:rsidRDefault="005541E9" w:rsidP="005541E9">
      <w:pPr>
        <w:spacing w:after="0"/>
        <w:rPr>
          <w:rFonts w:asciiTheme="minorHAnsi" w:hAnsiTheme="minorHAnsi" w:cstheme="minorHAnsi"/>
          <w:iCs/>
          <w:sz w:val="22"/>
          <w:szCs w:val="22"/>
        </w:rPr>
      </w:pPr>
    </w:p>
    <w:p w14:paraId="233F64E0" w14:textId="77777777" w:rsidR="005541E9" w:rsidRPr="00596B14" w:rsidRDefault="005541E9" w:rsidP="005541E9">
      <w:pPr>
        <w:pStyle w:val="ListParagraph"/>
        <w:numPr>
          <w:ilvl w:val="0"/>
          <w:numId w:val="9"/>
        </w:numPr>
        <w:spacing w:after="0"/>
        <w:rPr>
          <w:rFonts w:asciiTheme="minorHAnsi" w:hAnsiTheme="minorHAnsi" w:cstheme="minorHAnsi"/>
          <w:iCs/>
          <w:sz w:val="22"/>
          <w:szCs w:val="22"/>
        </w:rPr>
      </w:pPr>
      <w:r w:rsidRPr="00596B14">
        <w:rPr>
          <w:rFonts w:asciiTheme="minorHAnsi" w:hAnsiTheme="minorHAnsi" w:cstheme="minorHAnsi"/>
          <w:iCs/>
          <w:sz w:val="22"/>
          <w:szCs w:val="22"/>
        </w:rPr>
        <w:t>Source SN generates the CPC execution conditions and is also aware of set of prepared PSCells by each candidate T-SN</w:t>
      </w:r>
    </w:p>
    <w:p w14:paraId="520DA24A" w14:textId="77777777" w:rsidR="005541E9" w:rsidRPr="00596B14" w:rsidRDefault="005541E9" w:rsidP="005541E9">
      <w:pPr>
        <w:spacing w:after="0"/>
        <w:rPr>
          <w:rFonts w:asciiTheme="minorHAnsi" w:hAnsiTheme="minorHAnsi" w:cstheme="minorHAnsi"/>
          <w:iCs/>
          <w:sz w:val="22"/>
          <w:szCs w:val="22"/>
        </w:rPr>
      </w:pPr>
    </w:p>
    <w:p w14:paraId="7017E492" w14:textId="77777777" w:rsidR="005541E9" w:rsidRPr="00596B14" w:rsidRDefault="005541E9" w:rsidP="005541E9">
      <w:pPr>
        <w:pStyle w:val="ListParagraph"/>
        <w:numPr>
          <w:ilvl w:val="0"/>
          <w:numId w:val="9"/>
        </w:numPr>
        <w:spacing w:after="0"/>
        <w:rPr>
          <w:rFonts w:asciiTheme="minorHAnsi" w:hAnsiTheme="minorHAnsi" w:cstheme="minorHAnsi"/>
          <w:iCs/>
          <w:sz w:val="22"/>
          <w:szCs w:val="22"/>
        </w:rPr>
      </w:pPr>
      <w:r w:rsidRPr="00596B14">
        <w:rPr>
          <w:rFonts w:asciiTheme="minorHAnsi" w:hAnsiTheme="minorHAnsi" w:cstheme="minorHAnsi"/>
          <w:iCs/>
          <w:sz w:val="22"/>
          <w:szCs w:val="22"/>
        </w:rPr>
        <w:t>SN should perform the root cause analysis after MN forwards the SCGFailureInformation along with other useful CPC failure related information to SN over Xn</w:t>
      </w:r>
    </w:p>
    <w:p w14:paraId="5FA8A043" w14:textId="77777777" w:rsidR="005541E9" w:rsidRPr="00596B14" w:rsidRDefault="005541E9" w:rsidP="005541E9">
      <w:pPr>
        <w:spacing w:after="0"/>
        <w:rPr>
          <w:rFonts w:asciiTheme="minorHAnsi" w:hAnsiTheme="minorHAnsi" w:cstheme="minorHAnsi"/>
          <w:iCs/>
          <w:sz w:val="22"/>
          <w:szCs w:val="22"/>
        </w:rPr>
      </w:pPr>
    </w:p>
    <w:p w14:paraId="6319017B" w14:textId="77777777" w:rsidR="005541E9" w:rsidRPr="00596B14" w:rsidRDefault="005541E9" w:rsidP="005541E9">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Intra-SN CPC without MN involvement</w:t>
      </w:r>
    </w:p>
    <w:p w14:paraId="515AAF0A" w14:textId="77777777" w:rsidR="005541E9" w:rsidRPr="00596B14" w:rsidRDefault="005541E9" w:rsidP="005541E9">
      <w:pPr>
        <w:spacing w:after="0"/>
        <w:rPr>
          <w:rFonts w:asciiTheme="minorHAnsi" w:hAnsiTheme="minorHAnsi" w:cstheme="minorHAnsi"/>
          <w:iCs/>
          <w:sz w:val="22"/>
          <w:szCs w:val="22"/>
        </w:rPr>
      </w:pPr>
    </w:p>
    <w:p w14:paraId="1EF9E6EE" w14:textId="77777777" w:rsidR="005541E9" w:rsidRPr="00596B14" w:rsidRDefault="005541E9" w:rsidP="005541E9">
      <w:pPr>
        <w:pStyle w:val="ListParagraph"/>
        <w:numPr>
          <w:ilvl w:val="0"/>
          <w:numId w:val="10"/>
        </w:numPr>
        <w:spacing w:after="0"/>
        <w:rPr>
          <w:rFonts w:asciiTheme="minorHAnsi" w:hAnsiTheme="minorHAnsi" w:cstheme="minorHAnsi"/>
          <w:iCs/>
          <w:sz w:val="22"/>
          <w:szCs w:val="22"/>
        </w:rPr>
      </w:pPr>
      <w:r w:rsidRPr="00596B14">
        <w:rPr>
          <w:rFonts w:asciiTheme="minorHAnsi" w:hAnsiTheme="minorHAnsi" w:cstheme="minorHAnsi"/>
          <w:iCs/>
          <w:sz w:val="22"/>
          <w:szCs w:val="22"/>
        </w:rPr>
        <w:t>SN generates the CPC execution conditions and is also aware of set of prepared PSCells</w:t>
      </w:r>
    </w:p>
    <w:p w14:paraId="741CF932" w14:textId="77777777" w:rsidR="005541E9" w:rsidRPr="00596B14" w:rsidRDefault="005541E9" w:rsidP="005541E9">
      <w:pPr>
        <w:spacing w:after="0"/>
        <w:rPr>
          <w:rFonts w:asciiTheme="minorHAnsi" w:hAnsiTheme="minorHAnsi" w:cstheme="minorHAnsi"/>
          <w:iCs/>
          <w:sz w:val="22"/>
          <w:szCs w:val="22"/>
        </w:rPr>
      </w:pPr>
    </w:p>
    <w:p w14:paraId="1690F0F9" w14:textId="4C4FE64A" w:rsidR="005541E9" w:rsidRPr="00596B14" w:rsidRDefault="005541E9" w:rsidP="005541E9">
      <w:pPr>
        <w:pStyle w:val="ListParagraph"/>
        <w:numPr>
          <w:ilvl w:val="0"/>
          <w:numId w:val="10"/>
        </w:numPr>
        <w:spacing w:after="0"/>
        <w:rPr>
          <w:rFonts w:asciiTheme="minorHAnsi" w:hAnsiTheme="minorHAnsi" w:cstheme="minorHAnsi"/>
          <w:iCs/>
          <w:sz w:val="22"/>
          <w:szCs w:val="22"/>
        </w:rPr>
      </w:pPr>
      <w:r w:rsidRPr="00596B14">
        <w:rPr>
          <w:rFonts w:asciiTheme="minorHAnsi" w:hAnsiTheme="minorHAnsi" w:cstheme="minorHAnsi"/>
          <w:iCs/>
          <w:sz w:val="22"/>
          <w:szCs w:val="22"/>
        </w:rPr>
        <w:t xml:space="preserve">SN should perform the root cause analysis </w:t>
      </w:r>
      <w:r w:rsidR="003359A7">
        <w:rPr>
          <w:rFonts w:asciiTheme="minorHAnsi" w:hAnsiTheme="minorHAnsi" w:cstheme="minorHAnsi"/>
          <w:iCs/>
          <w:sz w:val="22"/>
          <w:szCs w:val="22"/>
        </w:rPr>
        <w:t>w</w:t>
      </w:r>
      <w:r w:rsidRPr="00596B14">
        <w:rPr>
          <w:rFonts w:asciiTheme="minorHAnsi" w:hAnsiTheme="minorHAnsi" w:cstheme="minorHAnsi"/>
          <w:iCs/>
          <w:sz w:val="22"/>
          <w:szCs w:val="22"/>
        </w:rPr>
        <w:t xml:space="preserve">hether MN is aware of the intra-SN CPC without MN involvement  </w:t>
      </w:r>
    </w:p>
    <w:p w14:paraId="51793308" w14:textId="77777777" w:rsidR="005541E9" w:rsidRPr="00596B14" w:rsidRDefault="005541E9" w:rsidP="005541E9">
      <w:pPr>
        <w:spacing w:after="0"/>
        <w:rPr>
          <w:rFonts w:asciiTheme="minorHAnsi" w:hAnsiTheme="minorHAnsi" w:cstheme="minorHAnsi"/>
          <w:iCs/>
          <w:sz w:val="22"/>
          <w:szCs w:val="22"/>
        </w:rPr>
      </w:pPr>
    </w:p>
    <w:p w14:paraId="31A7AB0D" w14:textId="77777777" w:rsidR="005541E9" w:rsidRPr="00596B14" w:rsidRDefault="005541E9" w:rsidP="005541E9">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3:</w:t>
      </w:r>
      <w:r w:rsidRPr="00596B14">
        <w:rPr>
          <w:rFonts w:asciiTheme="minorHAnsi" w:hAnsiTheme="minorHAnsi" w:cstheme="minorHAnsi"/>
          <w:iCs/>
          <w:sz w:val="22"/>
          <w:szCs w:val="22"/>
        </w:rPr>
        <w:t xml:space="preserve"> The node that initiates the CPC is responsible for performing the root cause analysis i.e., determines the CPC failure type, optimizes the CPC execution conditions and candidate PSCell list</w:t>
      </w:r>
    </w:p>
    <w:p w14:paraId="0859CFD8" w14:textId="77777777" w:rsidR="005541E9" w:rsidRPr="00596B14" w:rsidRDefault="005541E9" w:rsidP="005541E9">
      <w:pPr>
        <w:spacing w:after="0"/>
        <w:rPr>
          <w:rFonts w:asciiTheme="minorHAnsi" w:hAnsiTheme="minorHAnsi" w:cstheme="minorHAnsi"/>
          <w:iCs/>
          <w:sz w:val="22"/>
          <w:szCs w:val="22"/>
        </w:rPr>
      </w:pPr>
    </w:p>
    <w:p w14:paraId="788734D5" w14:textId="77777777" w:rsidR="005541E9" w:rsidRPr="00596B14" w:rsidRDefault="005541E9" w:rsidP="005541E9">
      <w:pPr>
        <w:spacing w:after="0"/>
        <w:rPr>
          <w:rFonts w:asciiTheme="minorHAnsi" w:hAnsiTheme="minorHAnsi" w:cstheme="minorHAnsi"/>
          <w:iCs/>
          <w:sz w:val="22"/>
          <w:szCs w:val="22"/>
        </w:rPr>
      </w:pPr>
      <w:r w:rsidRPr="00596B14">
        <w:rPr>
          <w:rFonts w:asciiTheme="minorHAnsi" w:hAnsiTheme="minorHAnsi" w:cstheme="minorHAnsi"/>
          <w:iCs/>
          <w:sz w:val="22"/>
          <w:szCs w:val="22"/>
        </w:rPr>
        <w:t>The following section from TS 38.300 captures the MN/SN responsibilities in performing the root cause analysis for PSCell change failures and the signaling involved:</w:t>
      </w:r>
    </w:p>
    <w:p w14:paraId="7602C563" w14:textId="77777777" w:rsidR="005541E9" w:rsidRPr="00596B14" w:rsidRDefault="005541E9" w:rsidP="005541E9">
      <w:pPr>
        <w:spacing w:after="0"/>
        <w:rPr>
          <w:rFonts w:asciiTheme="minorHAnsi" w:hAnsiTheme="minorHAnsi" w:cstheme="minorHAnsi"/>
          <w:iCs/>
          <w:sz w:val="22"/>
          <w:szCs w:val="22"/>
        </w:rPr>
      </w:pPr>
    </w:p>
    <w:p w14:paraId="635B6A76" w14:textId="77777777" w:rsidR="005541E9" w:rsidRPr="00596B14" w:rsidRDefault="005541E9" w:rsidP="005541E9">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lang w:eastAsia="zh-CN"/>
        </w:rPr>
      </w:pPr>
      <w:r w:rsidRPr="00596B14">
        <w:rPr>
          <w:rFonts w:asciiTheme="minorHAnsi" w:hAnsiTheme="minorHAnsi" w:cstheme="minorHAnsi"/>
          <w:b/>
          <w:bCs/>
          <w:sz w:val="22"/>
          <w:szCs w:val="22"/>
          <w:lang w:eastAsia="zh-CN"/>
        </w:rPr>
        <w:t>15.5.2.6</w:t>
      </w:r>
      <w:r w:rsidRPr="00596B14">
        <w:rPr>
          <w:rFonts w:asciiTheme="minorHAnsi" w:hAnsiTheme="minorHAnsi" w:cstheme="minorHAnsi"/>
          <w:b/>
          <w:bCs/>
          <w:sz w:val="22"/>
          <w:szCs w:val="22"/>
          <w:lang w:eastAsia="zh-CN"/>
        </w:rPr>
        <w:tab/>
        <w:t>PSCell change failure</w:t>
      </w:r>
    </w:p>
    <w:p w14:paraId="451028AD" w14:textId="77777777" w:rsidR="005541E9" w:rsidRPr="00596B14" w:rsidRDefault="005541E9" w:rsidP="005541E9">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zh-CN"/>
        </w:rPr>
      </w:pPr>
      <w:r w:rsidRPr="00596B14">
        <w:rPr>
          <w:rFonts w:asciiTheme="minorHAnsi" w:hAnsiTheme="minorHAnsi" w:cstheme="minorHAnsi"/>
          <w:sz w:val="22"/>
          <w:szCs w:val="22"/>
          <w:lang w:eastAsia="zh-CN"/>
        </w:rPr>
        <w:t xml:space="preserve">For analysis of PSCell change failures, the UE makes the SCG Failure Information available to the MN. If the MN can perform an initial analysis, it transfers the SCG Failure Information together with the analysis results to the relevant SN which is responsible for the PSCell change failures </w:t>
      </w:r>
      <w:r w:rsidRPr="00596B14">
        <w:rPr>
          <w:rFonts w:asciiTheme="minorHAnsi" w:hAnsiTheme="minorHAnsi" w:cstheme="minorHAnsi"/>
          <w:sz w:val="22"/>
          <w:szCs w:val="22"/>
        </w:rPr>
        <w:t>(see the clause 13.3 in TS 37.340 [21])</w:t>
      </w:r>
      <w:r w:rsidRPr="00596B14">
        <w:rPr>
          <w:rFonts w:asciiTheme="minorHAnsi" w:hAnsiTheme="minorHAnsi" w:cstheme="minorHAnsi"/>
          <w:sz w:val="22"/>
          <w:szCs w:val="22"/>
          <w:lang w:eastAsia="zh-CN"/>
        </w:rPr>
        <w:t xml:space="preserve">. Otherwise, the MN transfers the SCG Failure Information to the last serving SN. If needed, the MN transfer the SCG Failure Information to the source SN </w:t>
      </w:r>
      <w:r w:rsidRPr="00596B14">
        <w:rPr>
          <w:rFonts w:asciiTheme="minorHAnsi" w:hAnsiTheme="minorHAnsi" w:cstheme="minorHAnsi"/>
          <w:sz w:val="22"/>
          <w:szCs w:val="22"/>
        </w:rPr>
        <w:t>(see the clause 13.3 in TS 37.340 [21])</w:t>
      </w:r>
      <w:r w:rsidRPr="00596B14">
        <w:rPr>
          <w:rFonts w:asciiTheme="minorHAnsi" w:hAnsiTheme="minorHAnsi" w:cstheme="minorHAnsi"/>
          <w:sz w:val="22"/>
          <w:szCs w:val="22"/>
          <w:lang w:eastAsia="zh-CN"/>
        </w:rPr>
        <w:t>.</w:t>
      </w:r>
    </w:p>
    <w:p w14:paraId="17F55FB3" w14:textId="77777777" w:rsidR="005541E9" w:rsidRPr="00596B14" w:rsidRDefault="005541E9" w:rsidP="005541E9">
      <w:pPr>
        <w:spacing w:after="0"/>
        <w:rPr>
          <w:rFonts w:asciiTheme="minorHAnsi" w:hAnsiTheme="minorHAnsi" w:cstheme="minorHAnsi"/>
          <w:iCs/>
          <w:sz w:val="22"/>
          <w:szCs w:val="22"/>
        </w:rPr>
      </w:pPr>
      <w:r w:rsidRPr="00596B14">
        <w:rPr>
          <w:rFonts w:asciiTheme="minorHAnsi" w:hAnsiTheme="minorHAnsi" w:cstheme="minorHAnsi"/>
          <w:iCs/>
          <w:sz w:val="22"/>
          <w:szCs w:val="22"/>
        </w:rPr>
        <w:t xml:space="preserve">UE already reports the RRM measurements of neighboring PSCells (which might include some candidate PSCells of CPA/CPC) in SCGFailureInformation. In Rel-17, it was also agreed that MN can provide SCG Mobility related information to SN via SCG FAILURE INFORMATION REPORT over Xn and upon receiving this message, the SN shall assume that a PSCell change failure event was detected. SN can further send SCG FAILURE TRANSFER to indicate if the root cause of SCG failure may have occurred in the other nodes </w:t>
      </w:r>
    </w:p>
    <w:p w14:paraId="3B650A41" w14:textId="77777777" w:rsidR="005541E9" w:rsidRPr="00596B14" w:rsidRDefault="005541E9" w:rsidP="005541E9">
      <w:pPr>
        <w:spacing w:after="0"/>
        <w:rPr>
          <w:rFonts w:asciiTheme="minorHAnsi" w:hAnsiTheme="minorHAnsi" w:cstheme="minorHAnsi"/>
          <w:iCs/>
          <w:color w:val="4472C4" w:themeColor="accent1"/>
          <w:sz w:val="22"/>
          <w:szCs w:val="22"/>
        </w:rPr>
      </w:pPr>
    </w:p>
    <w:p w14:paraId="2E472A3E" w14:textId="388899CD" w:rsidR="005541E9" w:rsidRPr="00596B14" w:rsidRDefault="005541E9" w:rsidP="005541E9">
      <w:pPr>
        <w:spacing w:after="0"/>
        <w:rPr>
          <w:rFonts w:asciiTheme="minorHAnsi" w:hAnsiTheme="minorHAnsi" w:cstheme="minorHAnsi"/>
          <w:iCs/>
          <w:color w:val="000000" w:themeColor="text1"/>
          <w:sz w:val="22"/>
          <w:szCs w:val="22"/>
        </w:rPr>
      </w:pPr>
      <w:r w:rsidRPr="00596B14">
        <w:rPr>
          <w:rFonts w:asciiTheme="minorHAnsi" w:hAnsiTheme="minorHAnsi" w:cstheme="minorHAnsi"/>
          <w:b/>
          <w:bCs/>
          <w:iCs/>
          <w:color w:val="000000" w:themeColor="text1"/>
          <w:sz w:val="22"/>
          <w:szCs w:val="22"/>
        </w:rPr>
        <w:lastRenderedPageBreak/>
        <w:t>Observation</w:t>
      </w:r>
      <w:r w:rsidRPr="00596B14">
        <w:rPr>
          <w:rFonts w:asciiTheme="minorHAnsi" w:hAnsiTheme="minorHAnsi" w:cstheme="minorHAnsi"/>
          <w:iCs/>
          <w:color w:val="000000" w:themeColor="text1"/>
          <w:sz w:val="22"/>
          <w:szCs w:val="22"/>
        </w:rPr>
        <w:t xml:space="preserve"> </w:t>
      </w:r>
      <w:r w:rsidR="00260208">
        <w:rPr>
          <w:rFonts w:asciiTheme="minorHAnsi" w:hAnsiTheme="minorHAnsi" w:cstheme="minorHAnsi"/>
          <w:b/>
          <w:bCs/>
          <w:iCs/>
          <w:color w:val="000000" w:themeColor="text1"/>
          <w:sz w:val="22"/>
          <w:szCs w:val="22"/>
        </w:rPr>
        <w:t>2</w:t>
      </w:r>
      <w:r w:rsidRPr="00596B14">
        <w:rPr>
          <w:rFonts w:asciiTheme="minorHAnsi" w:hAnsiTheme="minorHAnsi" w:cstheme="minorHAnsi"/>
          <w:iCs/>
          <w:color w:val="000000" w:themeColor="text1"/>
          <w:sz w:val="22"/>
          <w:szCs w:val="22"/>
        </w:rPr>
        <w:t>: In Rel-17, MN provides PSCell change failure related information (including PSCell measurements) to last serving SN via SCG FAILURE INFORMATION REPORT over Xn and last serving SN can feedback MN via SCG FAILURE TRANSFER if the root cause of SCG failure may have occurred in the other nodes</w:t>
      </w:r>
    </w:p>
    <w:p w14:paraId="7B2C6310" w14:textId="77777777" w:rsidR="005541E9" w:rsidRPr="00596B14" w:rsidRDefault="005541E9" w:rsidP="005541E9">
      <w:pPr>
        <w:spacing w:after="0"/>
        <w:rPr>
          <w:rFonts w:asciiTheme="minorHAnsi" w:hAnsiTheme="minorHAnsi" w:cstheme="minorHAnsi"/>
          <w:iCs/>
          <w:color w:val="4472C4" w:themeColor="accent1"/>
          <w:sz w:val="22"/>
          <w:szCs w:val="22"/>
        </w:rPr>
      </w:pPr>
    </w:p>
    <w:p w14:paraId="70E15525" w14:textId="77777777" w:rsidR="005541E9" w:rsidRPr="00596B14" w:rsidRDefault="005541E9" w:rsidP="005541E9">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4</w:t>
      </w:r>
      <w:r w:rsidRPr="00596B14">
        <w:rPr>
          <w:rFonts w:asciiTheme="minorHAnsi" w:hAnsiTheme="minorHAnsi" w:cstheme="minorHAnsi"/>
          <w:iCs/>
          <w:sz w:val="22"/>
          <w:szCs w:val="22"/>
        </w:rPr>
        <w:t>: Reuse SCG FAILURE INFORMATION REPORT over Xn for MN to report CPA/CPC failure related information to SN</w:t>
      </w:r>
    </w:p>
    <w:p w14:paraId="0F8C61DB" w14:textId="77777777" w:rsidR="005541E9" w:rsidRDefault="005541E9" w:rsidP="005541E9">
      <w:pPr>
        <w:spacing w:after="0"/>
        <w:rPr>
          <w:rFonts w:asciiTheme="minorHAnsi" w:hAnsiTheme="minorHAnsi" w:cstheme="minorHAnsi"/>
          <w:iCs/>
          <w:sz w:val="22"/>
          <w:szCs w:val="22"/>
        </w:rPr>
      </w:pPr>
    </w:p>
    <w:p w14:paraId="1792DA50" w14:textId="77777777" w:rsidR="005541E9" w:rsidRDefault="005541E9" w:rsidP="005541E9">
      <w:pPr>
        <w:spacing w:after="0"/>
        <w:rPr>
          <w:rFonts w:asciiTheme="minorHAnsi" w:hAnsiTheme="minorHAnsi" w:cstheme="minorHAnsi"/>
          <w:iCs/>
          <w:sz w:val="22"/>
          <w:szCs w:val="22"/>
        </w:rPr>
      </w:pPr>
      <w:r>
        <w:rPr>
          <w:rFonts w:asciiTheme="minorHAnsi" w:hAnsiTheme="minorHAnsi" w:cstheme="minorHAnsi"/>
          <w:iCs/>
          <w:sz w:val="22"/>
          <w:szCs w:val="22"/>
        </w:rPr>
        <w:t>It was agreed last meeting in the context of</w:t>
      </w:r>
      <w:r w:rsidRPr="00596B14">
        <w:rPr>
          <w:rFonts w:asciiTheme="minorHAnsi" w:hAnsiTheme="minorHAnsi" w:cstheme="minorHAnsi"/>
          <w:iCs/>
          <w:sz w:val="22"/>
          <w:szCs w:val="22"/>
        </w:rPr>
        <w:t xml:space="preserve"> CHO-CPC coexistence scenarios </w:t>
      </w:r>
      <w:r>
        <w:rPr>
          <w:rFonts w:asciiTheme="minorHAnsi" w:hAnsiTheme="minorHAnsi" w:cstheme="minorHAnsi"/>
          <w:iCs/>
          <w:sz w:val="22"/>
          <w:szCs w:val="22"/>
        </w:rPr>
        <w:t xml:space="preserve">that </w:t>
      </w:r>
      <w:r w:rsidRPr="00596B14">
        <w:rPr>
          <w:rFonts w:asciiTheme="minorHAnsi" w:hAnsiTheme="minorHAnsi" w:cstheme="minorHAnsi"/>
          <w:iCs/>
          <w:sz w:val="22"/>
          <w:szCs w:val="22"/>
        </w:rPr>
        <w:t xml:space="preserve">S-SN </w:t>
      </w:r>
      <w:r>
        <w:rPr>
          <w:rFonts w:asciiTheme="minorHAnsi" w:hAnsiTheme="minorHAnsi" w:cstheme="minorHAnsi"/>
          <w:iCs/>
          <w:sz w:val="22"/>
          <w:szCs w:val="22"/>
        </w:rPr>
        <w:t>shall</w:t>
      </w:r>
      <w:r w:rsidRPr="00596B14">
        <w:rPr>
          <w:rFonts w:asciiTheme="minorHAnsi" w:hAnsiTheme="minorHAnsi" w:cstheme="minorHAnsi"/>
          <w:iCs/>
          <w:sz w:val="22"/>
          <w:szCs w:val="22"/>
        </w:rPr>
        <w:t xml:space="preserve"> inform MN </w:t>
      </w:r>
      <w:r>
        <w:rPr>
          <w:rFonts w:asciiTheme="minorHAnsi" w:hAnsiTheme="minorHAnsi" w:cstheme="minorHAnsi"/>
          <w:iCs/>
          <w:sz w:val="22"/>
          <w:szCs w:val="22"/>
        </w:rPr>
        <w:t xml:space="preserve">if there is any </w:t>
      </w:r>
      <w:r w:rsidRPr="00596B14">
        <w:rPr>
          <w:rFonts w:asciiTheme="minorHAnsi" w:hAnsiTheme="minorHAnsi" w:cstheme="minorHAnsi"/>
          <w:iCs/>
          <w:sz w:val="22"/>
          <w:szCs w:val="22"/>
        </w:rPr>
        <w:t>intra-SN PSCell change execution so that the MN can cancel the CHO if already initiated</w:t>
      </w:r>
      <w:r>
        <w:rPr>
          <w:rFonts w:asciiTheme="minorHAnsi" w:hAnsiTheme="minorHAnsi" w:cstheme="minorHAnsi"/>
          <w:iCs/>
          <w:sz w:val="22"/>
          <w:szCs w:val="22"/>
        </w:rPr>
        <w:t xml:space="preserve"> as captured in TS 37.340 below:</w:t>
      </w:r>
    </w:p>
    <w:p w14:paraId="77CDFB09" w14:textId="77777777" w:rsidR="005541E9" w:rsidRDefault="005541E9" w:rsidP="005541E9">
      <w:pPr>
        <w:spacing w:after="0"/>
        <w:rPr>
          <w:rFonts w:asciiTheme="minorHAnsi" w:hAnsiTheme="minorHAnsi" w:cstheme="minorHAnsi"/>
          <w:iCs/>
          <w:sz w:val="22"/>
          <w:szCs w:val="22"/>
        </w:rPr>
      </w:pPr>
    </w:p>
    <w:p w14:paraId="34248F84" w14:textId="77777777" w:rsidR="005541E9" w:rsidRPr="00596B14" w:rsidRDefault="005541E9" w:rsidP="005541E9">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sz w:val="22"/>
          <w:szCs w:val="22"/>
        </w:rPr>
      </w:pPr>
      <w:r w:rsidRPr="002336A3">
        <w:rPr>
          <w:rFonts w:asciiTheme="minorHAnsi" w:hAnsiTheme="minorHAnsi" w:cstheme="minorHAnsi"/>
          <w:iCs/>
          <w:sz w:val="22"/>
          <w:szCs w:val="22"/>
        </w:rPr>
        <w:t xml:space="preserve">NOTE 3a: In case that either CHO or any conditional reconfiguration is prepared, and if a prepared SN initiated intra-SN CPC procedure or reconfiguration with sync of the SCG using SRB3 is executed, </w:t>
      </w:r>
      <w:r w:rsidRPr="002336A3">
        <w:rPr>
          <w:rFonts w:asciiTheme="minorHAnsi" w:hAnsiTheme="minorHAnsi" w:cstheme="minorHAnsi"/>
          <w:b/>
          <w:bCs/>
          <w:iCs/>
          <w:sz w:val="22"/>
          <w:szCs w:val="22"/>
          <w:u w:val="single"/>
        </w:rPr>
        <w:t>the SN shall notify to the MN via the SN Modification Required message</w:t>
      </w:r>
      <w:r w:rsidRPr="002336A3">
        <w:rPr>
          <w:rFonts w:asciiTheme="minorHAnsi" w:hAnsiTheme="minorHAnsi" w:cstheme="minorHAnsi"/>
          <w:iCs/>
          <w:sz w:val="22"/>
          <w:szCs w:val="22"/>
        </w:rPr>
        <w:t>. The SN Modification Required message may include the SCG configuration that has been applied in the UE. The MN considers that a conditional reconfiguration, if any configured in the UE, has been released due to the execution of the (conditional) SCG reconfiguration.</w:t>
      </w:r>
    </w:p>
    <w:p w14:paraId="79A28F8B" w14:textId="77777777" w:rsidR="005541E9" w:rsidRPr="00596B14" w:rsidRDefault="005541E9" w:rsidP="005541E9">
      <w:pPr>
        <w:spacing w:after="0"/>
        <w:rPr>
          <w:rFonts w:asciiTheme="minorHAnsi" w:hAnsiTheme="minorHAnsi" w:cstheme="minorHAnsi"/>
          <w:iCs/>
          <w:sz w:val="22"/>
          <w:szCs w:val="22"/>
        </w:rPr>
      </w:pPr>
    </w:p>
    <w:p w14:paraId="6C69CA78" w14:textId="77777777" w:rsidR="005541E9" w:rsidRPr="00B665FC" w:rsidRDefault="005541E9" w:rsidP="005541E9">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5:</w:t>
      </w:r>
      <w:r w:rsidRPr="00596B14">
        <w:rPr>
          <w:rFonts w:asciiTheme="minorHAnsi" w:hAnsiTheme="minorHAnsi" w:cstheme="minorHAnsi"/>
          <w:iCs/>
          <w:sz w:val="22"/>
          <w:szCs w:val="22"/>
        </w:rPr>
        <w:t xml:space="preserve"> </w:t>
      </w:r>
      <w:r>
        <w:rPr>
          <w:rFonts w:asciiTheme="minorHAnsi" w:hAnsiTheme="minorHAnsi" w:cstheme="minorHAnsi"/>
          <w:iCs/>
          <w:sz w:val="22"/>
          <w:szCs w:val="22"/>
        </w:rPr>
        <w:t>RAN3 should discuss whether to reuse</w:t>
      </w:r>
      <w:r w:rsidRPr="00596B14">
        <w:rPr>
          <w:rFonts w:asciiTheme="minorHAnsi" w:hAnsiTheme="minorHAnsi" w:cstheme="minorHAnsi"/>
          <w:iCs/>
          <w:sz w:val="22"/>
          <w:szCs w:val="22"/>
        </w:rPr>
        <w:t xml:space="preserve"> SCG FAILURE TRANSFER to inform MN that the root cause of CPC failure may have occurred in other nodes</w:t>
      </w:r>
      <w:r>
        <w:rPr>
          <w:rFonts w:asciiTheme="minorHAnsi" w:hAnsiTheme="minorHAnsi" w:cstheme="minorHAnsi"/>
          <w:iCs/>
          <w:sz w:val="22"/>
          <w:szCs w:val="22"/>
        </w:rPr>
        <w:t xml:space="preserve"> (as in Rel-17 MRO for SCG failures) or whether the </w:t>
      </w:r>
      <w:r w:rsidRPr="00B665FC">
        <w:rPr>
          <w:rFonts w:asciiTheme="minorHAnsi" w:hAnsiTheme="minorHAnsi" w:cstheme="minorHAnsi"/>
          <w:i/>
          <w:sz w:val="22"/>
          <w:szCs w:val="22"/>
        </w:rPr>
        <w:t>SCG Reconfiguration Notification</w:t>
      </w:r>
      <w:r>
        <w:rPr>
          <w:rFonts w:asciiTheme="minorHAnsi" w:hAnsiTheme="minorHAnsi" w:cstheme="minorHAnsi"/>
          <w:iCs/>
          <w:sz w:val="22"/>
          <w:szCs w:val="22"/>
        </w:rPr>
        <w:t xml:space="preserve"> IE introduced in SN Modification Required is sufficient.</w:t>
      </w:r>
    </w:p>
    <w:p w14:paraId="31894AEA" w14:textId="77777777" w:rsidR="005541E9" w:rsidRPr="00596B14" w:rsidRDefault="005541E9" w:rsidP="005541E9">
      <w:pPr>
        <w:spacing w:after="0"/>
        <w:rPr>
          <w:rFonts w:asciiTheme="minorHAnsi" w:hAnsiTheme="minorHAnsi" w:cstheme="minorHAnsi"/>
          <w:iCs/>
          <w:sz w:val="22"/>
          <w:szCs w:val="22"/>
        </w:rPr>
      </w:pPr>
    </w:p>
    <w:p w14:paraId="7B0BCD71" w14:textId="77777777" w:rsidR="005541E9" w:rsidRPr="00596B14" w:rsidRDefault="005541E9" w:rsidP="005541E9">
      <w:pPr>
        <w:spacing w:after="0"/>
        <w:rPr>
          <w:rFonts w:asciiTheme="minorHAnsi" w:hAnsiTheme="minorHAnsi" w:cstheme="minorHAnsi"/>
          <w:iCs/>
          <w:sz w:val="22"/>
          <w:szCs w:val="22"/>
        </w:rPr>
      </w:pPr>
      <w:r w:rsidRPr="00596B14">
        <w:rPr>
          <w:rFonts w:asciiTheme="minorHAnsi" w:hAnsiTheme="minorHAnsi" w:cstheme="minorHAnsi"/>
          <w:iCs/>
          <w:sz w:val="22"/>
          <w:szCs w:val="22"/>
        </w:rPr>
        <w:t xml:space="preserve">In case of reconfiguration with sync failure for an SCG (i.e., when T304 of SCG expires), UE sends an </w:t>
      </w:r>
      <w:r w:rsidRPr="00596B14">
        <w:rPr>
          <w:rFonts w:asciiTheme="minorHAnsi" w:hAnsiTheme="minorHAnsi" w:cstheme="minorHAnsi"/>
          <w:i/>
          <w:sz w:val="22"/>
          <w:szCs w:val="22"/>
        </w:rPr>
        <w:t>SCGFailureInformation</w:t>
      </w:r>
      <w:r w:rsidRPr="00596B14">
        <w:rPr>
          <w:rFonts w:asciiTheme="minorHAnsi" w:hAnsiTheme="minorHAnsi" w:cstheme="minorHAnsi"/>
          <w:iCs/>
          <w:sz w:val="22"/>
          <w:szCs w:val="22"/>
        </w:rPr>
        <w:t xml:space="preserve"> to MN with the failureType as </w:t>
      </w:r>
      <w:r w:rsidRPr="00596B14">
        <w:rPr>
          <w:rFonts w:asciiTheme="minorHAnsi" w:hAnsiTheme="minorHAnsi" w:cstheme="minorHAnsi"/>
          <w:i/>
          <w:sz w:val="22"/>
          <w:szCs w:val="22"/>
        </w:rPr>
        <w:t>synchReconfigFailureSCG</w:t>
      </w:r>
      <w:r w:rsidRPr="00596B14">
        <w:rPr>
          <w:rFonts w:asciiTheme="minorHAnsi" w:hAnsiTheme="minorHAnsi" w:cstheme="minorHAnsi"/>
          <w:iCs/>
          <w:sz w:val="22"/>
          <w:szCs w:val="22"/>
        </w:rPr>
        <w:t>, irrespective of whether the reconfiguration with sync for the SCG was due to PSCell addition/change or CPA/CPC. To be able to optimize the right configuration, it is important to know whether the synchReconfigFailureSCG happened due to a PSCell addition/change failure or CPA/CPC execution failure.</w:t>
      </w:r>
    </w:p>
    <w:p w14:paraId="0ED57179" w14:textId="77777777" w:rsidR="005541E9" w:rsidRPr="00596B14" w:rsidRDefault="005541E9" w:rsidP="005541E9">
      <w:pPr>
        <w:spacing w:after="0"/>
        <w:rPr>
          <w:rFonts w:asciiTheme="minorHAnsi" w:hAnsiTheme="minorHAnsi" w:cstheme="minorHAnsi"/>
          <w:iCs/>
          <w:sz w:val="22"/>
          <w:szCs w:val="22"/>
        </w:rPr>
      </w:pPr>
    </w:p>
    <w:p w14:paraId="2D6EE788" w14:textId="77777777" w:rsidR="005541E9" w:rsidRPr="00596B14" w:rsidRDefault="005541E9" w:rsidP="005541E9">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6</w:t>
      </w:r>
      <w:r w:rsidRPr="00596B14">
        <w:rPr>
          <w:rFonts w:asciiTheme="minorHAnsi" w:hAnsiTheme="minorHAnsi" w:cstheme="minorHAnsi"/>
          <w:iCs/>
          <w:sz w:val="22"/>
          <w:szCs w:val="22"/>
        </w:rPr>
        <w:t xml:space="preserve">: RAN3 should study whether there is a need to distinguish PSCell addition/change failure with CPA/CPC execution failure and if so how to distinguish them e.g., MN can indicate SN about the PSCell addition/change type (conditional or not) over Xn </w:t>
      </w:r>
    </w:p>
    <w:p w14:paraId="12B50534" w14:textId="77777777" w:rsidR="005541E9" w:rsidRPr="00596B14" w:rsidRDefault="005541E9" w:rsidP="005541E9">
      <w:pPr>
        <w:spacing w:after="0"/>
        <w:rPr>
          <w:rFonts w:asciiTheme="minorHAnsi" w:hAnsiTheme="minorHAnsi" w:cstheme="minorHAnsi"/>
          <w:b/>
          <w:bCs/>
          <w:iCs/>
          <w:sz w:val="22"/>
          <w:szCs w:val="22"/>
        </w:rPr>
      </w:pPr>
    </w:p>
    <w:p w14:paraId="45956997" w14:textId="77777777" w:rsidR="005541E9" w:rsidRPr="00596B14" w:rsidRDefault="005541E9" w:rsidP="005541E9">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7</w:t>
      </w:r>
      <w:r w:rsidRPr="00596B14">
        <w:rPr>
          <w:rFonts w:asciiTheme="minorHAnsi" w:hAnsiTheme="minorHAnsi" w:cstheme="minorHAnsi"/>
          <w:iCs/>
          <w:sz w:val="22"/>
          <w:szCs w:val="22"/>
        </w:rPr>
        <w:t>: RAN3 should study whether to define some new timers that can be helpful in the detection of CPC failure types e.g., time elapsed since the last CPC configuration until SCG failure or time elapsed since CPC execution until SCG failure</w:t>
      </w:r>
    </w:p>
    <w:p w14:paraId="6C7DFCEF" w14:textId="77777777" w:rsidR="00303577" w:rsidRPr="00596B14" w:rsidRDefault="00303577" w:rsidP="00303577">
      <w:pPr>
        <w:spacing w:after="0"/>
        <w:textAlignment w:val="center"/>
        <w:rPr>
          <w:rFonts w:asciiTheme="minorHAnsi" w:hAnsiTheme="minorHAnsi" w:cstheme="minorHAnsi"/>
          <w:iCs/>
          <w:sz w:val="22"/>
          <w:szCs w:val="22"/>
        </w:rPr>
      </w:pPr>
    </w:p>
    <w:p w14:paraId="0888891E" w14:textId="322B037B" w:rsidR="00E14DDE" w:rsidRPr="003E17E3" w:rsidRDefault="00122822" w:rsidP="00E14DD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sidRPr="003E17E3">
        <w:rPr>
          <w:rFonts w:asciiTheme="minorHAnsi" w:eastAsia="MS Mincho" w:hAnsiTheme="minorHAnsi" w:cstheme="minorHAnsi"/>
          <w:iCs/>
          <w:sz w:val="28"/>
          <w:szCs w:val="28"/>
          <w:lang w:eastAsia="ja-JP"/>
        </w:rPr>
        <w:t xml:space="preserve"> MRO for MR-DC SCG failure</w:t>
      </w:r>
      <w:r w:rsidR="00A302BC">
        <w:rPr>
          <w:rFonts w:asciiTheme="minorHAnsi" w:eastAsia="MS Mincho" w:hAnsiTheme="minorHAnsi" w:cstheme="minorHAnsi"/>
          <w:iCs/>
          <w:sz w:val="28"/>
          <w:szCs w:val="28"/>
          <w:lang w:eastAsia="ja-JP"/>
        </w:rPr>
        <w:t>s</w:t>
      </w:r>
    </w:p>
    <w:p w14:paraId="3FF0374E" w14:textId="77777777" w:rsidR="00036928" w:rsidRPr="00036928" w:rsidRDefault="00036928" w:rsidP="00036928">
      <w:pPr>
        <w:pStyle w:val="ListParagraph"/>
        <w:numPr>
          <w:ilvl w:val="0"/>
          <w:numId w:val="21"/>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36928">
        <w:rPr>
          <w:rFonts w:ascii="Calibri" w:eastAsia="Times New Roman" w:hAnsi="Calibri" w:cs="Calibri"/>
          <w:color w:val="0070C0"/>
          <w:sz w:val="22"/>
          <w:szCs w:val="22"/>
          <w:lang w:val="en-US"/>
        </w:rPr>
        <w:t>how to introduce stage 2 descriptions of PSCell change failure in (NG)EN-DC in TS36.300</w:t>
      </w:r>
    </w:p>
    <w:p w14:paraId="7D8681F3" w14:textId="77777777" w:rsidR="00036928" w:rsidRPr="00036928" w:rsidRDefault="00036928" w:rsidP="00036928">
      <w:pPr>
        <w:pStyle w:val="ListParagraph"/>
        <w:numPr>
          <w:ilvl w:val="0"/>
          <w:numId w:val="21"/>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36928">
        <w:rPr>
          <w:rFonts w:ascii="Calibri" w:eastAsia="Times New Roman" w:hAnsi="Calibri" w:cs="Calibri"/>
          <w:color w:val="0070C0"/>
          <w:sz w:val="22"/>
          <w:szCs w:val="22"/>
          <w:lang w:val="en-US"/>
        </w:rPr>
        <w:t>whether/how to enhance SCGFailureInformationNR or SCGFailureInformationEUTRA message</w:t>
      </w:r>
    </w:p>
    <w:p w14:paraId="2C344695" w14:textId="77777777" w:rsidR="00036928" w:rsidRPr="00036928" w:rsidRDefault="00036928" w:rsidP="00036928">
      <w:pPr>
        <w:pStyle w:val="ListParagraph"/>
        <w:numPr>
          <w:ilvl w:val="0"/>
          <w:numId w:val="21"/>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36928">
        <w:rPr>
          <w:rFonts w:ascii="Calibri" w:eastAsia="Times New Roman" w:hAnsi="Calibri" w:cs="Calibri"/>
          <w:color w:val="0070C0"/>
          <w:sz w:val="22"/>
          <w:szCs w:val="22"/>
          <w:lang w:val="en-US"/>
        </w:rPr>
        <w:t>whether to introduce SCG FAILURE INFORMATION REPORT and SCG FAILURE TRANSFER over X2</w:t>
      </w:r>
    </w:p>
    <w:p w14:paraId="6C848CFB" w14:textId="77777777" w:rsidR="00036928" w:rsidRPr="00036928" w:rsidRDefault="00036928" w:rsidP="00036928">
      <w:pPr>
        <w:pStyle w:val="ListParagraph"/>
        <w:numPr>
          <w:ilvl w:val="0"/>
          <w:numId w:val="21"/>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36928">
        <w:rPr>
          <w:rFonts w:ascii="Calibri" w:eastAsia="Times New Roman" w:hAnsi="Calibri" w:cs="Calibri"/>
          <w:color w:val="0070C0"/>
          <w:sz w:val="22"/>
          <w:szCs w:val="22"/>
          <w:lang w:val="en-US"/>
        </w:rPr>
        <w:t>how to forward SCG failure information from MN to SN, e.g., via a new inter-node RRC message, reuse the existing CG-ConfigInfo inter-node message, or explicit IEs over Xn</w:t>
      </w:r>
    </w:p>
    <w:p w14:paraId="6DCB2282" w14:textId="342164A2" w:rsidR="003B6401" w:rsidRPr="00036928" w:rsidRDefault="00036928" w:rsidP="00036928">
      <w:pPr>
        <w:pStyle w:val="ListParagraph"/>
        <w:numPr>
          <w:ilvl w:val="0"/>
          <w:numId w:val="21"/>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36928">
        <w:rPr>
          <w:rFonts w:ascii="Calibri" w:eastAsia="Times New Roman" w:hAnsi="Calibri" w:cs="Calibri"/>
          <w:color w:val="0070C0"/>
          <w:sz w:val="22"/>
          <w:szCs w:val="22"/>
          <w:lang w:val="en-US"/>
        </w:rPr>
        <w:t>whether/how MN decodes measResultSCG to obtain SCG measurement result for MRO analysis</w:t>
      </w:r>
    </w:p>
    <w:p w14:paraId="6D76EAF3" w14:textId="0620648B" w:rsidR="00036928" w:rsidRDefault="00036928" w:rsidP="003B6401">
      <w:pPr>
        <w:spacing w:after="0"/>
        <w:rPr>
          <w:rFonts w:ascii="Calibri" w:eastAsia="Times New Roman" w:hAnsi="Calibri" w:cs="Calibri"/>
          <w:sz w:val="22"/>
          <w:szCs w:val="22"/>
          <w:lang w:val="en-US"/>
        </w:rPr>
      </w:pPr>
    </w:p>
    <w:p w14:paraId="23BDCA24" w14:textId="77777777" w:rsidR="00036928" w:rsidRPr="003B6401" w:rsidRDefault="00036928" w:rsidP="003B6401">
      <w:pPr>
        <w:spacing w:after="0"/>
        <w:rPr>
          <w:rFonts w:ascii="Calibri" w:eastAsia="Times New Roman" w:hAnsi="Calibri" w:cs="Calibri"/>
          <w:sz w:val="22"/>
          <w:szCs w:val="22"/>
          <w:lang w:val="en-US"/>
        </w:rPr>
      </w:pPr>
    </w:p>
    <w:p w14:paraId="11646F2D" w14:textId="1435E348" w:rsidR="009028FB" w:rsidRPr="009028FB" w:rsidRDefault="009028FB" w:rsidP="009028FB">
      <w:pPr>
        <w:spacing w:after="0"/>
        <w:rPr>
          <w:rFonts w:ascii="Calibri" w:eastAsia="Times New Roman" w:hAnsi="Calibri" w:cs="Calibri"/>
          <w:sz w:val="22"/>
          <w:szCs w:val="22"/>
          <w:lang w:val="en-US"/>
        </w:rPr>
      </w:pPr>
      <w:r w:rsidRPr="009028FB">
        <w:rPr>
          <w:rFonts w:ascii="Calibri" w:eastAsia="Times New Roman" w:hAnsi="Calibri" w:cs="Calibri"/>
          <w:b/>
          <w:bCs/>
          <w:sz w:val="22"/>
          <w:szCs w:val="22"/>
          <w:lang w:val="en-US"/>
        </w:rPr>
        <w:lastRenderedPageBreak/>
        <w:t>Observation</w:t>
      </w:r>
      <w:r w:rsidR="00C96FC9">
        <w:rPr>
          <w:rFonts w:ascii="Calibri" w:eastAsia="Times New Roman" w:hAnsi="Calibri" w:cs="Calibri"/>
          <w:b/>
          <w:bCs/>
          <w:sz w:val="22"/>
          <w:szCs w:val="22"/>
          <w:lang w:val="en-US"/>
        </w:rPr>
        <w:t xml:space="preserve"> 3</w:t>
      </w:r>
      <w:r w:rsidRPr="009028FB">
        <w:rPr>
          <w:rFonts w:ascii="Calibri" w:eastAsia="Times New Roman" w:hAnsi="Calibri" w:cs="Calibri"/>
          <w:sz w:val="22"/>
          <w:szCs w:val="22"/>
          <w:lang w:val="en-US"/>
        </w:rPr>
        <w:t>: Rel-17 supports MRO for only NR-DC failures. Upon receiving SCGFailureInformation from UE, MN sends SCG FAILURE INFORMATION REPORT to last serving SN. Further, last serving SN can inform MN whether the SCG failure occurred or not via SCG FAILURE TRANSFER over Xn</w:t>
      </w:r>
    </w:p>
    <w:p w14:paraId="5509CDAA" w14:textId="77777777" w:rsidR="009028FB" w:rsidRPr="009028FB" w:rsidRDefault="009028FB" w:rsidP="009028FB">
      <w:pPr>
        <w:spacing w:after="0"/>
        <w:rPr>
          <w:rFonts w:ascii="Calibri" w:eastAsia="Times New Roman" w:hAnsi="Calibri" w:cs="Calibri"/>
          <w:sz w:val="22"/>
          <w:szCs w:val="22"/>
          <w:lang w:val="en-US"/>
        </w:rPr>
      </w:pPr>
      <w:r w:rsidRPr="009028FB">
        <w:rPr>
          <w:rFonts w:ascii="Calibri" w:eastAsia="Times New Roman" w:hAnsi="Calibri" w:cs="Calibri"/>
          <w:sz w:val="22"/>
          <w:szCs w:val="22"/>
          <w:lang w:val="en-US"/>
        </w:rPr>
        <w:t> </w:t>
      </w:r>
    </w:p>
    <w:p w14:paraId="24D4C42D" w14:textId="74D3C8FE" w:rsidR="009028FB" w:rsidRPr="007D4027" w:rsidRDefault="00C633DB" w:rsidP="00E44CC1">
      <w:pPr>
        <w:spacing w:after="0"/>
        <w:rPr>
          <w:rFonts w:ascii="Calibri" w:eastAsia="Times New Roman" w:hAnsi="Calibri" w:cs="Calibri"/>
          <w:sz w:val="22"/>
          <w:szCs w:val="22"/>
          <w:lang w:val="en-US"/>
        </w:rPr>
      </w:pPr>
      <w:r w:rsidRPr="00C633DB">
        <w:rPr>
          <w:rFonts w:ascii="Calibri" w:eastAsia="Times New Roman" w:hAnsi="Calibri" w:cs="Calibri"/>
          <w:b/>
          <w:bCs/>
          <w:sz w:val="22"/>
          <w:szCs w:val="22"/>
          <w:lang w:val="en-US"/>
        </w:rPr>
        <w:t>Observation</w:t>
      </w:r>
      <w:r w:rsidR="00C96FC9">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xml:space="preserve">: </w:t>
      </w:r>
      <w:r w:rsidR="005F4DBF" w:rsidRPr="00C633DB">
        <w:rPr>
          <w:rFonts w:ascii="Calibri" w:eastAsia="Times New Roman" w:hAnsi="Calibri" w:cs="Calibri"/>
          <w:sz w:val="22"/>
          <w:szCs w:val="22"/>
          <w:lang w:val="en-US"/>
        </w:rPr>
        <w:t>SCG failure information reported by the UE is always encoded in the format of the MN RAT</w:t>
      </w:r>
      <w:r w:rsidR="00E44CC1">
        <w:rPr>
          <w:rFonts w:ascii="Calibri" w:eastAsia="Times New Roman" w:hAnsi="Calibri" w:cs="Calibri"/>
          <w:sz w:val="22"/>
          <w:szCs w:val="22"/>
          <w:lang w:val="en-US"/>
        </w:rPr>
        <w:t xml:space="preserve">. </w:t>
      </w:r>
      <w:r w:rsidR="002843EE">
        <w:rPr>
          <w:rFonts w:ascii="Calibri" w:eastAsia="Times New Roman" w:hAnsi="Calibri" w:cs="Calibri"/>
          <w:sz w:val="22"/>
          <w:szCs w:val="22"/>
          <w:lang w:val="en-US"/>
        </w:rPr>
        <w:t>I</w:t>
      </w:r>
      <w:r w:rsidR="005F4DBF" w:rsidRPr="007D4027">
        <w:rPr>
          <w:rFonts w:ascii="Calibri" w:eastAsia="Times New Roman" w:hAnsi="Calibri" w:cs="Calibri"/>
          <w:sz w:val="22"/>
          <w:szCs w:val="22"/>
          <w:lang w:val="en-US"/>
        </w:rPr>
        <w:t>f the MN just forwards the SCG failure information from the UE to the SN</w:t>
      </w:r>
      <w:r w:rsidR="002843EE">
        <w:rPr>
          <w:rFonts w:ascii="Calibri" w:eastAsia="Times New Roman" w:hAnsi="Calibri" w:cs="Calibri"/>
          <w:sz w:val="22"/>
          <w:szCs w:val="22"/>
          <w:lang w:val="en-US"/>
        </w:rPr>
        <w:t xml:space="preserve"> (i</w:t>
      </w:r>
      <w:r w:rsidR="002843EE" w:rsidRPr="00C633DB">
        <w:rPr>
          <w:rFonts w:ascii="Calibri" w:eastAsia="Times New Roman" w:hAnsi="Calibri" w:cs="Calibri"/>
          <w:sz w:val="22"/>
          <w:szCs w:val="22"/>
          <w:lang w:val="en-US"/>
        </w:rPr>
        <w:t>n case of NE-DC, (NG)EN-DC and EN-DC</w:t>
      </w:r>
      <w:r w:rsidR="002843EE">
        <w:rPr>
          <w:rFonts w:ascii="Calibri" w:eastAsia="Times New Roman" w:hAnsi="Calibri" w:cs="Calibri"/>
          <w:sz w:val="22"/>
          <w:szCs w:val="22"/>
          <w:lang w:val="en-US"/>
        </w:rPr>
        <w:t>)</w:t>
      </w:r>
      <w:r w:rsidR="005F4DBF" w:rsidRPr="007D4027">
        <w:rPr>
          <w:rFonts w:ascii="Calibri" w:eastAsia="Times New Roman" w:hAnsi="Calibri" w:cs="Calibri"/>
          <w:sz w:val="22"/>
          <w:szCs w:val="22"/>
          <w:lang w:val="en-US"/>
        </w:rPr>
        <w:t>, it is impossible for the SN to decode it</w:t>
      </w:r>
    </w:p>
    <w:p w14:paraId="18A7AF8D" w14:textId="77777777" w:rsidR="00C633DB" w:rsidRDefault="00C633DB" w:rsidP="00C633DB">
      <w:pPr>
        <w:spacing w:after="0"/>
        <w:ind w:left="360"/>
        <w:rPr>
          <w:rFonts w:ascii="Calibri" w:eastAsia="Times New Roman" w:hAnsi="Calibri" w:cs="Calibri"/>
          <w:sz w:val="22"/>
          <w:szCs w:val="22"/>
          <w:lang w:val="en-US"/>
        </w:rPr>
      </w:pPr>
    </w:p>
    <w:p w14:paraId="5AA1EF41" w14:textId="2725FC32" w:rsidR="009028FB" w:rsidRPr="00C633DB" w:rsidRDefault="00C633DB" w:rsidP="00C633DB">
      <w:pPr>
        <w:spacing w:after="0"/>
        <w:rPr>
          <w:rFonts w:ascii="Calibri" w:eastAsia="Times New Roman" w:hAnsi="Calibri" w:cs="Calibri"/>
          <w:sz w:val="22"/>
          <w:szCs w:val="22"/>
          <w:lang w:val="en-US"/>
        </w:rPr>
      </w:pPr>
      <w:r w:rsidRPr="00C633DB">
        <w:rPr>
          <w:rFonts w:ascii="Calibri" w:eastAsia="Times New Roman" w:hAnsi="Calibri" w:cs="Calibri"/>
          <w:b/>
          <w:bCs/>
          <w:sz w:val="22"/>
          <w:szCs w:val="22"/>
          <w:lang w:val="en-US"/>
        </w:rPr>
        <w:t>Proposal</w:t>
      </w:r>
      <w:r w:rsidR="00C96FC9">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xml:space="preserve">: </w:t>
      </w:r>
      <w:r w:rsidR="00C96FC9">
        <w:rPr>
          <w:rFonts w:ascii="Calibri" w:eastAsia="Times New Roman" w:hAnsi="Calibri" w:cs="Calibri"/>
          <w:sz w:val="22"/>
          <w:szCs w:val="22"/>
          <w:lang w:val="en-US"/>
        </w:rPr>
        <w:t>I</w:t>
      </w:r>
      <w:r w:rsidR="00C96FC9" w:rsidRPr="00C96FC9">
        <w:rPr>
          <w:rFonts w:ascii="Calibri" w:eastAsia="Times New Roman" w:hAnsi="Calibri" w:cs="Calibri"/>
          <w:sz w:val="22"/>
          <w:szCs w:val="22"/>
          <w:lang w:val="en-US"/>
        </w:rPr>
        <w:t xml:space="preserve">n case of </w:t>
      </w:r>
      <w:r w:rsidR="00C96FC9">
        <w:rPr>
          <w:rFonts w:ascii="Calibri" w:eastAsia="Times New Roman" w:hAnsi="Calibri" w:cs="Calibri"/>
          <w:sz w:val="22"/>
          <w:szCs w:val="22"/>
          <w:lang w:val="en-US"/>
        </w:rPr>
        <w:t xml:space="preserve">SCG failures in </w:t>
      </w:r>
      <w:r w:rsidR="00C96FC9" w:rsidRPr="00C96FC9">
        <w:rPr>
          <w:rFonts w:ascii="Calibri" w:eastAsia="Times New Roman" w:hAnsi="Calibri" w:cs="Calibri"/>
          <w:sz w:val="22"/>
          <w:szCs w:val="22"/>
          <w:lang w:val="en-US"/>
        </w:rPr>
        <w:t>NE-DC, (NG)EN-DC and EN-DC</w:t>
      </w:r>
      <w:r w:rsidR="00C96FC9">
        <w:rPr>
          <w:rFonts w:ascii="Calibri" w:eastAsia="Times New Roman" w:hAnsi="Calibri" w:cs="Calibri"/>
          <w:sz w:val="22"/>
          <w:szCs w:val="22"/>
          <w:lang w:val="en-US"/>
        </w:rPr>
        <w:t>,</w:t>
      </w:r>
      <w:r w:rsidR="00C96FC9" w:rsidRPr="00C96FC9">
        <w:rPr>
          <w:rFonts w:ascii="Calibri" w:eastAsia="Times New Roman" w:hAnsi="Calibri" w:cs="Calibri"/>
          <w:sz w:val="22"/>
          <w:szCs w:val="22"/>
          <w:lang w:val="en-US"/>
        </w:rPr>
        <w:t xml:space="preserve"> </w:t>
      </w:r>
      <w:r w:rsidR="007D4027" w:rsidRPr="00C633DB">
        <w:rPr>
          <w:rFonts w:ascii="Calibri" w:eastAsia="Times New Roman" w:hAnsi="Calibri" w:cs="Calibri"/>
          <w:sz w:val="22"/>
          <w:szCs w:val="22"/>
          <w:lang w:val="en-US"/>
        </w:rPr>
        <w:t>MN needs to translate the SCG failure information encoded in the MN RAT format, re-organize the information with the SN RAT format and send it to SN either via an inter-node message or explicit signaling over Xn.</w:t>
      </w:r>
      <w:r w:rsidR="00E44CC1">
        <w:rPr>
          <w:rFonts w:ascii="Calibri" w:eastAsia="Times New Roman" w:hAnsi="Calibri" w:cs="Calibri"/>
          <w:sz w:val="22"/>
          <w:szCs w:val="22"/>
          <w:lang w:val="en-US"/>
        </w:rPr>
        <w:t xml:space="preserve"> Send LS to RAN2 to convey the issue and ask its </w:t>
      </w:r>
      <w:r w:rsidR="00657EDC">
        <w:rPr>
          <w:rFonts w:ascii="Calibri" w:eastAsia="Times New Roman" w:hAnsi="Calibri" w:cs="Calibri"/>
          <w:sz w:val="22"/>
          <w:szCs w:val="22"/>
          <w:lang w:val="en-US"/>
        </w:rPr>
        <w:t>views.</w:t>
      </w:r>
    </w:p>
    <w:p w14:paraId="251AB502" w14:textId="77777777" w:rsidR="007D4027" w:rsidRPr="007D4027" w:rsidRDefault="007D4027" w:rsidP="007D4027">
      <w:pPr>
        <w:spacing w:after="0"/>
        <w:rPr>
          <w:rFonts w:ascii="Calibri" w:eastAsia="Times New Roman" w:hAnsi="Calibri" w:cs="Calibri"/>
          <w:sz w:val="22"/>
          <w:szCs w:val="22"/>
          <w:lang w:val="en-US"/>
        </w:rPr>
      </w:pPr>
    </w:p>
    <w:p w14:paraId="4B66D5CB" w14:textId="4E74DB84" w:rsidR="006C0469" w:rsidRPr="003E17E3" w:rsidRDefault="00A302BC" w:rsidP="006C046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Pr>
          <w:rFonts w:asciiTheme="minorHAnsi" w:eastAsia="MS Mincho" w:hAnsiTheme="minorHAnsi" w:cstheme="minorHAnsi"/>
          <w:iCs/>
          <w:sz w:val="28"/>
          <w:szCs w:val="28"/>
          <w:lang w:eastAsia="ja-JP"/>
        </w:rPr>
        <w:t xml:space="preserve">MRO for </w:t>
      </w:r>
      <w:r w:rsidR="006C0469" w:rsidRPr="003E17E3">
        <w:rPr>
          <w:rFonts w:asciiTheme="minorHAnsi" w:eastAsia="MS Mincho" w:hAnsiTheme="minorHAnsi" w:cstheme="minorHAnsi"/>
          <w:iCs/>
          <w:sz w:val="28"/>
          <w:szCs w:val="28"/>
          <w:lang w:eastAsia="ja-JP"/>
        </w:rPr>
        <w:t>Fast MCG Recovery </w:t>
      </w:r>
    </w:p>
    <w:p w14:paraId="66600835" w14:textId="77777777" w:rsidR="004645D1" w:rsidRDefault="004645D1" w:rsidP="004645D1">
      <w:pPr>
        <w:spacing w:after="0"/>
        <w:textAlignment w:val="center"/>
        <w:rPr>
          <w:rFonts w:ascii="Calibri" w:eastAsia="Times New Roman" w:hAnsi="Calibri" w:cs="Calibri"/>
          <w:sz w:val="22"/>
          <w:szCs w:val="22"/>
          <w:lang w:val="en-US"/>
        </w:rPr>
      </w:pPr>
    </w:p>
    <w:p w14:paraId="28BF14F3" w14:textId="77777777" w:rsidR="00BC58C2" w:rsidRPr="00BC58C2" w:rsidRDefault="00BC58C2" w:rsidP="00BC58C2">
      <w:pPr>
        <w:pStyle w:val="ListParagraph"/>
        <w:numPr>
          <w:ilvl w:val="0"/>
          <w:numId w:val="23"/>
        </w:num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sidRPr="00BC58C2">
        <w:rPr>
          <w:rFonts w:ascii="Calibri" w:eastAsia="Times New Roman" w:hAnsi="Calibri" w:cs="Calibri"/>
          <w:color w:val="00B050"/>
          <w:sz w:val="22"/>
          <w:szCs w:val="22"/>
          <w:lang w:val="en-US"/>
        </w:rPr>
        <w:t>Case a: SCG fails or is deactivated when the UE attempts MCG recovery (i.e. a SCG failure/deactivation while T316 is running after MCG failure).</w:t>
      </w:r>
    </w:p>
    <w:p w14:paraId="6C2FB657" w14:textId="4B65E12A" w:rsidR="00BC58C2" w:rsidRPr="00BC58C2" w:rsidRDefault="00BC58C2" w:rsidP="00792E92">
      <w:pPr>
        <w:pStyle w:val="ListParagraph"/>
        <w:numPr>
          <w:ilvl w:val="0"/>
          <w:numId w:val="23"/>
        </w:num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70C0"/>
          <w:sz w:val="22"/>
          <w:szCs w:val="22"/>
          <w:lang w:val="en-US"/>
        </w:rPr>
      </w:pPr>
      <w:r w:rsidRPr="00BC58C2">
        <w:rPr>
          <w:rFonts w:ascii="Calibri" w:eastAsia="Times New Roman" w:hAnsi="Calibri" w:cs="Calibri"/>
          <w:color w:val="00B050"/>
          <w:sz w:val="22"/>
          <w:szCs w:val="22"/>
          <w:lang w:val="en-US"/>
        </w:rPr>
        <w:t>Case b: the signalling delay is longer than the time the UE waits for the response (T316 expired).</w:t>
      </w:r>
    </w:p>
    <w:p w14:paraId="1587CBA4" w14:textId="31FDAF02" w:rsidR="004645D1" w:rsidRPr="004645D1" w:rsidRDefault="004645D1" w:rsidP="004645D1">
      <w:pPr>
        <w:pStyle w:val="ListParagraph"/>
        <w:numPr>
          <w:ilvl w:val="0"/>
          <w:numId w:val="23"/>
        </w:num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70C0"/>
          <w:sz w:val="22"/>
          <w:szCs w:val="22"/>
          <w:lang w:val="en-US"/>
        </w:rPr>
      </w:pPr>
      <w:r w:rsidRPr="004645D1">
        <w:rPr>
          <w:rFonts w:ascii="Calibri" w:eastAsia="Times New Roman" w:hAnsi="Calibri" w:cs="Calibri"/>
          <w:color w:val="0070C0"/>
          <w:sz w:val="22"/>
          <w:szCs w:val="22"/>
          <w:lang w:val="en-US"/>
        </w:rPr>
        <w:t>Whether to consider Sub-Case b1/Sub-Case b2/Case c-f</w:t>
      </w:r>
    </w:p>
    <w:p w14:paraId="7F9C635B" w14:textId="173D6450" w:rsidR="007E0E2A" w:rsidRPr="004645D1" w:rsidRDefault="004645D1" w:rsidP="004645D1">
      <w:pPr>
        <w:pStyle w:val="ListParagraph"/>
        <w:numPr>
          <w:ilvl w:val="0"/>
          <w:numId w:val="23"/>
        </w:num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70C0"/>
          <w:sz w:val="22"/>
          <w:szCs w:val="22"/>
          <w:lang w:val="en-US"/>
        </w:rPr>
      </w:pPr>
      <w:r w:rsidRPr="004645D1">
        <w:rPr>
          <w:rFonts w:ascii="Calibri" w:eastAsia="Times New Roman" w:hAnsi="Calibri" w:cs="Calibri"/>
          <w:color w:val="0070C0"/>
          <w:sz w:val="22"/>
          <w:szCs w:val="22"/>
          <w:lang w:val="en-US"/>
        </w:rPr>
        <w:t>Enhancements of UE reported information for MRO enhancements for Fast MCG Failure Recovery</w:t>
      </w:r>
    </w:p>
    <w:p w14:paraId="51EF465F" w14:textId="0439577D" w:rsidR="00C46FB3" w:rsidRDefault="00C46FB3" w:rsidP="00BC58C2">
      <w:pPr>
        <w:spacing w:after="0"/>
        <w:ind w:left="360"/>
        <w:textAlignment w:val="center"/>
        <w:rPr>
          <w:rFonts w:ascii="Calibri" w:eastAsia="Times New Roman" w:hAnsi="Calibri" w:cs="Calibri"/>
          <w:sz w:val="22"/>
          <w:szCs w:val="22"/>
          <w:lang w:val="en-US"/>
        </w:rPr>
      </w:pPr>
    </w:p>
    <w:tbl>
      <w:tblPr>
        <w:tblStyle w:val="TableGrid"/>
        <w:tblW w:w="0" w:type="auto"/>
        <w:tblInd w:w="360" w:type="dxa"/>
        <w:tblLook w:val="04A0" w:firstRow="1" w:lastRow="0" w:firstColumn="1" w:lastColumn="0" w:noHBand="0" w:noVBand="1"/>
      </w:tblPr>
      <w:tblGrid>
        <w:gridCol w:w="4503"/>
        <w:gridCol w:w="4487"/>
      </w:tblGrid>
      <w:tr w:rsidR="00C46E01" w14:paraId="59CAEBD4" w14:textId="77777777" w:rsidTr="00EE2D6E">
        <w:tc>
          <w:tcPr>
            <w:tcW w:w="4503" w:type="dxa"/>
          </w:tcPr>
          <w:p w14:paraId="50AE2945" w14:textId="77777777" w:rsidR="00C46E01" w:rsidRPr="00C46E01" w:rsidRDefault="00C46E01" w:rsidP="00C46E01">
            <w:pPr>
              <w:spacing w:after="0"/>
              <w:textAlignment w:val="center"/>
              <w:rPr>
                <w:rFonts w:ascii="Calibri" w:eastAsia="Times New Roman" w:hAnsi="Calibri" w:cs="Calibri"/>
                <w:sz w:val="22"/>
                <w:szCs w:val="22"/>
                <w:lang w:val="en-US"/>
              </w:rPr>
            </w:pPr>
            <w:r w:rsidRPr="00C46E01">
              <w:rPr>
                <w:rFonts w:ascii="Calibri" w:eastAsia="Times New Roman" w:hAnsi="Calibri" w:cs="Calibri"/>
                <w:b/>
                <w:bCs/>
                <w:sz w:val="22"/>
                <w:szCs w:val="22"/>
                <w:lang w:val="en-US"/>
              </w:rPr>
              <w:t>Sub-Case b1</w:t>
            </w:r>
            <w:r w:rsidRPr="00C46E01">
              <w:rPr>
                <w:rFonts w:ascii="Calibri" w:eastAsia="Times New Roman" w:hAnsi="Calibri" w:cs="Calibri"/>
                <w:sz w:val="22"/>
                <w:szCs w:val="22"/>
                <w:lang w:val="en-US"/>
              </w:rPr>
              <w:t>: T316 runs out on the UE side while the SN is trying to deliver the MN message, in this case the maximum number of retransmissions at the SN side has not been reached.</w:t>
            </w:r>
          </w:p>
          <w:p w14:paraId="40C2968A" w14:textId="77777777" w:rsidR="00C46E01" w:rsidRDefault="00C46E01" w:rsidP="00BC58C2">
            <w:pPr>
              <w:spacing w:after="0"/>
              <w:textAlignment w:val="center"/>
              <w:rPr>
                <w:rFonts w:ascii="Calibri" w:eastAsia="Times New Roman" w:hAnsi="Calibri" w:cs="Calibri"/>
                <w:sz w:val="22"/>
                <w:szCs w:val="22"/>
                <w:lang w:val="en-US"/>
              </w:rPr>
            </w:pPr>
          </w:p>
        </w:tc>
        <w:tc>
          <w:tcPr>
            <w:tcW w:w="4487" w:type="dxa"/>
          </w:tcPr>
          <w:p w14:paraId="0415F7AA" w14:textId="4C792E16" w:rsidR="00C46E01" w:rsidRDefault="00D93EB7" w:rsidP="00BC58C2">
            <w:pPr>
              <w:spacing w:after="0"/>
              <w:textAlignment w:val="center"/>
              <w:rPr>
                <w:rFonts w:ascii="Calibri" w:eastAsia="Times New Roman" w:hAnsi="Calibri" w:cs="Calibri"/>
                <w:sz w:val="22"/>
                <w:szCs w:val="22"/>
                <w:lang w:val="en-US"/>
              </w:rPr>
            </w:pPr>
            <w:r w:rsidRPr="00D93EB7">
              <w:rPr>
                <w:rFonts w:ascii="Calibri" w:eastAsia="Times New Roman" w:hAnsi="Calibri" w:cs="Calibri"/>
                <w:sz w:val="22"/>
                <w:szCs w:val="22"/>
                <w:lang w:val="en-US"/>
              </w:rPr>
              <w:t>Case b1) is T316 expiry case – same as case b). No need to mention the status of max number of RLC ReTx</w:t>
            </w:r>
          </w:p>
        </w:tc>
      </w:tr>
      <w:tr w:rsidR="00C46E01" w14:paraId="7455AE80" w14:textId="77777777" w:rsidTr="00EE2D6E">
        <w:tc>
          <w:tcPr>
            <w:tcW w:w="4503" w:type="dxa"/>
          </w:tcPr>
          <w:p w14:paraId="426C600B" w14:textId="77777777" w:rsidR="00C46E01" w:rsidRPr="00C46E01" w:rsidRDefault="00C46E01" w:rsidP="00C46E01">
            <w:pPr>
              <w:spacing w:after="0"/>
              <w:textAlignment w:val="center"/>
              <w:rPr>
                <w:rFonts w:ascii="Calibri" w:eastAsia="Times New Roman" w:hAnsi="Calibri" w:cs="Calibri"/>
                <w:sz w:val="22"/>
                <w:szCs w:val="22"/>
                <w:lang w:val="en-US"/>
              </w:rPr>
            </w:pPr>
            <w:r w:rsidRPr="00C46E01">
              <w:rPr>
                <w:rFonts w:ascii="Calibri" w:eastAsia="Times New Roman" w:hAnsi="Calibri" w:cs="Calibri"/>
                <w:b/>
                <w:bCs/>
                <w:sz w:val="22"/>
                <w:szCs w:val="22"/>
                <w:lang w:val="en-US"/>
              </w:rPr>
              <w:t>Sub-Case b2:</w:t>
            </w:r>
            <w:r w:rsidRPr="00C46E01">
              <w:rPr>
                <w:rFonts w:ascii="Calibri" w:eastAsia="Times New Roman" w:hAnsi="Calibri" w:cs="Calibri"/>
                <w:sz w:val="22"/>
                <w:szCs w:val="22"/>
                <w:lang w:val="en-US"/>
              </w:rPr>
              <w:t xml:space="preserve"> The SN reaches the maximum number of retransmissions while T316 has not expired on the UE side. In this case the SN cannot make any further attempts to deliver the MN message, but the UE will continue to wait for it for the remainder of the T316 time.</w:t>
            </w:r>
          </w:p>
          <w:p w14:paraId="58C61143" w14:textId="77777777" w:rsidR="00C46E01" w:rsidRDefault="00C46E01" w:rsidP="00BC58C2">
            <w:pPr>
              <w:spacing w:after="0"/>
              <w:textAlignment w:val="center"/>
              <w:rPr>
                <w:rFonts w:ascii="Calibri" w:eastAsia="Times New Roman" w:hAnsi="Calibri" w:cs="Calibri"/>
                <w:sz w:val="22"/>
                <w:szCs w:val="22"/>
                <w:lang w:val="en-US"/>
              </w:rPr>
            </w:pPr>
          </w:p>
        </w:tc>
        <w:tc>
          <w:tcPr>
            <w:tcW w:w="4487" w:type="dxa"/>
          </w:tcPr>
          <w:p w14:paraId="41910ABC" w14:textId="6E6201D1" w:rsidR="00C46E01" w:rsidRDefault="003E5645" w:rsidP="00BC58C2">
            <w:pPr>
              <w:spacing w:after="0"/>
              <w:textAlignment w:val="center"/>
              <w:rPr>
                <w:rFonts w:ascii="Calibri" w:eastAsia="Times New Roman" w:hAnsi="Calibri" w:cs="Calibri"/>
                <w:sz w:val="22"/>
                <w:szCs w:val="22"/>
                <w:lang w:val="en-US"/>
              </w:rPr>
            </w:pPr>
            <w:r w:rsidRPr="003E5645">
              <w:rPr>
                <w:rFonts w:ascii="Calibri" w:eastAsia="Times New Roman" w:hAnsi="Calibri" w:cs="Calibri"/>
                <w:sz w:val="22"/>
                <w:szCs w:val="22"/>
                <w:lang w:val="en-US"/>
              </w:rPr>
              <w:t>Case b2) is basically SCG failure due to maxRLCReTx when T316 is running. This is same as case a)</w:t>
            </w:r>
          </w:p>
        </w:tc>
      </w:tr>
      <w:tr w:rsidR="00C46E01" w14:paraId="58675D63" w14:textId="77777777" w:rsidTr="00EE2D6E">
        <w:tc>
          <w:tcPr>
            <w:tcW w:w="4503" w:type="dxa"/>
          </w:tcPr>
          <w:p w14:paraId="2A25A7D9" w14:textId="77777777" w:rsidR="00C46E01" w:rsidRPr="00C46E01" w:rsidRDefault="00C46E01" w:rsidP="00C46E01">
            <w:pPr>
              <w:spacing w:after="0"/>
              <w:textAlignment w:val="center"/>
              <w:rPr>
                <w:rFonts w:ascii="Calibri" w:eastAsia="Times New Roman" w:hAnsi="Calibri" w:cs="Calibri"/>
                <w:sz w:val="22"/>
                <w:szCs w:val="22"/>
                <w:lang w:val="en-US"/>
              </w:rPr>
            </w:pPr>
            <w:r w:rsidRPr="00C46E01">
              <w:rPr>
                <w:rFonts w:ascii="Calibri" w:eastAsia="Times New Roman" w:hAnsi="Calibri" w:cs="Calibri"/>
                <w:b/>
                <w:bCs/>
                <w:sz w:val="22"/>
                <w:szCs w:val="22"/>
                <w:lang w:val="en-US"/>
              </w:rPr>
              <w:t>Case c:</w:t>
            </w:r>
            <w:r w:rsidRPr="00C46E01">
              <w:rPr>
                <w:rFonts w:ascii="Calibri" w:eastAsia="Times New Roman" w:hAnsi="Calibri" w:cs="Calibri"/>
                <w:sz w:val="22"/>
                <w:szCs w:val="22"/>
                <w:lang w:val="en-US"/>
              </w:rPr>
              <w:t xml:space="preserve"> Fast recovery near failure case, i.e., UE receives the response message from MN via SN while T316 is running which almost expires but not yet.</w:t>
            </w:r>
          </w:p>
          <w:p w14:paraId="16146D66" w14:textId="77777777" w:rsidR="00C46E01" w:rsidRDefault="00C46E01" w:rsidP="00BC58C2">
            <w:pPr>
              <w:spacing w:after="0"/>
              <w:textAlignment w:val="center"/>
              <w:rPr>
                <w:rFonts w:ascii="Calibri" w:eastAsia="Times New Roman" w:hAnsi="Calibri" w:cs="Calibri"/>
                <w:sz w:val="22"/>
                <w:szCs w:val="22"/>
                <w:lang w:val="en-US"/>
              </w:rPr>
            </w:pPr>
          </w:p>
        </w:tc>
        <w:tc>
          <w:tcPr>
            <w:tcW w:w="4487" w:type="dxa"/>
          </w:tcPr>
          <w:p w14:paraId="28B59023" w14:textId="1B18ED82" w:rsidR="00C46E01" w:rsidRDefault="009148D9" w:rsidP="00BC58C2">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This needs</w:t>
            </w:r>
            <w:r w:rsidRPr="009148D9">
              <w:rPr>
                <w:rFonts w:ascii="Calibri" w:eastAsia="Times New Roman" w:hAnsi="Calibri" w:cs="Calibri"/>
                <w:sz w:val="22"/>
                <w:szCs w:val="22"/>
                <w:lang w:val="en-US"/>
              </w:rPr>
              <w:t xml:space="preserve"> new trigger condition for SHR</w:t>
            </w:r>
            <w:r>
              <w:rPr>
                <w:rFonts w:ascii="Calibri" w:eastAsia="Times New Roman" w:hAnsi="Calibri" w:cs="Calibri"/>
                <w:sz w:val="22"/>
                <w:szCs w:val="22"/>
                <w:lang w:val="en-US"/>
              </w:rPr>
              <w:t xml:space="preserve"> e.g., T316 based trigger</w:t>
            </w:r>
          </w:p>
        </w:tc>
      </w:tr>
      <w:tr w:rsidR="00462BD6" w14:paraId="5F1471EA" w14:textId="77777777" w:rsidTr="00EE2D6E">
        <w:tc>
          <w:tcPr>
            <w:tcW w:w="4503" w:type="dxa"/>
          </w:tcPr>
          <w:p w14:paraId="11872ABD" w14:textId="77777777" w:rsidR="00462BD6" w:rsidRDefault="00F47D38" w:rsidP="00C46E01">
            <w:pPr>
              <w:spacing w:after="0"/>
              <w:textAlignment w:val="center"/>
              <w:rPr>
                <w:rFonts w:ascii="Calibri" w:eastAsia="Times New Roman" w:hAnsi="Calibri" w:cs="Calibri"/>
                <w:sz w:val="22"/>
                <w:szCs w:val="22"/>
                <w:lang w:val="en-US"/>
              </w:rPr>
            </w:pPr>
            <w:r w:rsidRPr="00952575">
              <w:rPr>
                <w:rFonts w:ascii="Calibri" w:eastAsia="Times New Roman" w:hAnsi="Calibri" w:cs="Calibri"/>
                <w:b/>
                <w:bCs/>
                <w:sz w:val="22"/>
                <w:szCs w:val="22"/>
                <w:lang w:val="en-US"/>
              </w:rPr>
              <w:t>Case d:</w:t>
            </w:r>
            <w:r w:rsidRPr="00952575">
              <w:rPr>
                <w:rFonts w:ascii="Calibri" w:eastAsia="Times New Roman" w:hAnsi="Calibri" w:cs="Calibri"/>
                <w:sz w:val="22"/>
                <w:szCs w:val="22"/>
                <w:lang w:val="en-US"/>
              </w:rPr>
              <w:t xml:space="preserve"> Failure case for CHO based recovery failure after fast MCG recovery failure</w:t>
            </w:r>
          </w:p>
          <w:p w14:paraId="79DB820D" w14:textId="2BA91B40" w:rsidR="00952575" w:rsidRPr="00952575" w:rsidRDefault="00952575" w:rsidP="00C46E01">
            <w:pPr>
              <w:spacing w:after="0"/>
              <w:textAlignment w:val="center"/>
              <w:rPr>
                <w:rFonts w:ascii="Calibri" w:eastAsia="Times New Roman" w:hAnsi="Calibri" w:cs="Calibri"/>
                <w:sz w:val="22"/>
                <w:szCs w:val="22"/>
                <w:lang w:val="en-US"/>
              </w:rPr>
            </w:pPr>
          </w:p>
        </w:tc>
        <w:tc>
          <w:tcPr>
            <w:tcW w:w="4487" w:type="dxa"/>
          </w:tcPr>
          <w:p w14:paraId="75191A57" w14:textId="06EFBC77" w:rsidR="00462BD6" w:rsidRDefault="00EE2D6E" w:rsidP="00BC58C2">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This is case of</w:t>
            </w:r>
            <w:r w:rsidRPr="00EE2D6E">
              <w:rPr>
                <w:rFonts w:ascii="Calibri" w:eastAsia="Times New Roman" w:hAnsi="Calibri" w:cs="Calibri"/>
                <w:sz w:val="22"/>
                <w:szCs w:val="22"/>
                <w:lang w:val="en-US"/>
              </w:rPr>
              <w:t xml:space="preserve"> successive failures, </w:t>
            </w:r>
            <w:r>
              <w:rPr>
                <w:rFonts w:ascii="Calibri" w:eastAsia="Times New Roman" w:hAnsi="Calibri" w:cs="Calibri"/>
                <w:sz w:val="22"/>
                <w:szCs w:val="22"/>
                <w:lang w:val="en-US"/>
              </w:rPr>
              <w:t>can</w:t>
            </w:r>
            <w:r w:rsidRPr="00EE2D6E">
              <w:rPr>
                <w:rFonts w:ascii="Calibri" w:eastAsia="Times New Roman" w:hAnsi="Calibri" w:cs="Calibri"/>
                <w:sz w:val="22"/>
                <w:szCs w:val="22"/>
                <w:lang w:val="en-US"/>
              </w:rPr>
              <w:t xml:space="preserve"> be de-prioritized.</w:t>
            </w:r>
          </w:p>
        </w:tc>
      </w:tr>
      <w:tr w:rsidR="00C46E01" w14:paraId="43808829" w14:textId="77777777" w:rsidTr="00EE2D6E">
        <w:tc>
          <w:tcPr>
            <w:tcW w:w="4503" w:type="dxa"/>
          </w:tcPr>
          <w:p w14:paraId="681E7F56" w14:textId="77777777" w:rsidR="00C46E01" w:rsidRPr="00C46E01" w:rsidRDefault="00C46E01" w:rsidP="00C46E01">
            <w:pPr>
              <w:spacing w:after="0"/>
              <w:textAlignment w:val="center"/>
              <w:rPr>
                <w:rFonts w:ascii="Calibri" w:eastAsia="Times New Roman" w:hAnsi="Calibri" w:cs="Calibri"/>
                <w:sz w:val="22"/>
                <w:szCs w:val="22"/>
                <w:lang w:val="en-US"/>
              </w:rPr>
            </w:pPr>
            <w:r w:rsidRPr="00C46E01">
              <w:rPr>
                <w:rFonts w:ascii="Calibri" w:eastAsia="Times New Roman" w:hAnsi="Calibri" w:cs="Calibri"/>
                <w:b/>
                <w:bCs/>
                <w:sz w:val="22"/>
                <w:szCs w:val="22"/>
                <w:lang w:val="en-US"/>
              </w:rPr>
              <w:t>Case e</w:t>
            </w:r>
            <w:r w:rsidRPr="00C46E01">
              <w:rPr>
                <w:rFonts w:ascii="Calibri" w:eastAsia="Times New Roman" w:hAnsi="Calibri" w:cs="Calibri"/>
                <w:sz w:val="22"/>
                <w:szCs w:val="22"/>
                <w:lang w:val="en-US"/>
              </w:rPr>
              <w:t>: Subsequent failure after successful fast MCG recovery.</w:t>
            </w:r>
          </w:p>
          <w:p w14:paraId="10769488" w14:textId="77777777" w:rsidR="00C46E01" w:rsidRDefault="00C46E01" w:rsidP="00BC58C2">
            <w:pPr>
              <w:spacing w:after="0"/>
              <w:textAlignment w:val="center"/>
              <w:rPr>
                <w:rFonts w:ascii="Calibri" w:eastAsia="Times New Roman" w:hAnsi="Calibri" w:cs="Calibri"/>
                <w:sz w:val="22"/>
                <w:szCs w:val="22"/>
                <w:lang w:val="en-US"/>
              </w:rPr>
            </w:pPr>
          </w:p>
        </w:tc>
        <w:tc>
          <w:tcPr>
            <w:tcW w:w="4487" w:type="dxa"/>
          </w:tcPr>
          <w:p w14:paraId="302CD8A9" w14:textId="711D531F" w:rsidR="00C46E01" w:rsidRDefault="00462BD6" w:rsidP="00BC58C2">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A</w:t>
            </w:r>
            <w:r w:rsidRPr="00462BD6">
              <w:rPr>
                <w:rFonts w:ascii="Calibri" w:eastAsia="Times New Roman" w:hAnsi="Calibri" w:cs="Calibri"/>
                <w:sz w:val="22"/>
                <w:szCs w:val="22"/>
                <w:lang w:val="en-US"/>
              </w:rPr>
              <w:t xml:space="preserve">ny failure happens after the successful fast MCG recovery can follow </w:t>
            </w:r>
            <w:r>
              <w:rPr>
                <w:rFonts w:ascii="Calibri" w:eastAsia="Times New Roman" w:hAnsi="Calibri" w:cs="Calibri"/>
                <w:sz w:val="22"/>
                <w:szCs w:val="22"/>
                <w:lang w:val="en-US"/>
              </w:rPr>
              <w:t xml:space="preserve">legacy MRO </w:t>
            </w:r>
            <w:r w:rsidRPr="00462BD6">
              <w:rPr>
                <w:rFonts w:ascii="Calibri" w:eastAsia="Times New Roman" w:hAnsi="Calibri" w:cs="Calibri"/>
                <w:sz w:val="22"/>
                <w:szCs w:val="22"/>
                <w:lang w:val="en-US"/>
              </w:rPr>
              <w:t>failure operation.</w:t>
            </w:r>
          </w:p>
        </w:tc>
      </w:tr>
      <w:tr w:rsidR="00EE2D6E" w14:paraId="3F63417C" w14:textId="77777777" w:rsidTr="00EE2D6E">
        <w:tc>
          <w:tcPr>
            <w:tcW w:w="4503" w:type="dxa"/>
          </w:tcPr>
          <w:p w14:paraId="584B0B84" w14:textId="0612940A" w:rsidR="00EE2D6E" w:rsidRPr="00EE2D6E" w:rsidRDefault="00EE2D6E" w:rsidP="00C46E01">
            <w:pPr>
              <w:spacing w:after="0"/>
              <w:textAlignment w:val="center"/>
              <w:rPr>
                <w:rFonts w:ascii="Calibri" w:eastAsia="Times New Roman" w:hAnsi="Calibri" w:cs="Calibri"/>
                <w:sz w:val="22"/>
                <w:szCs w:val="22"/>
                <w:lang w:val="en-US"/>
              </w:rPr>
            </w:pPr>
            <w:r w:rsidRPr="00EE2D6E">
              <w:rPr>
                <w:rFonts w:ascii="Calibri" w:eastAsia="Times New Roman" w:hAnsi="Calibri" w:cs="Calibri"/>
                <w:b/>
                <w:bCs/>
                <w:sz w:val="22"/>
                <w:szCs w:val="22"/>
                <w:lang w:val="en-US"/>
              </w:rPr>
              <w:lastRenderedPageBreak/>
              <w:t>Case f:</w:t>
            </w:r>
            <w:r w:rsidRPr="00EE2D6E">
              <w:rPr>
                <w:rFonts w:ascii="Calibri" w:eastAsia="Times New Roman" w:hAnsi="Calibri" w:cs="Calibri"/>
                <w:sz w:val="22"/>
                <w:szCs w:val="22"/>
                <w:lang w:val="en-US"/>
              </w:rPr>
              <w:t xml:space="preserve">  dual failure case, i.e., MCG failure occur while at about the same time SCG is deactivated/suspended/de-configured</w:t>
            </w:r>
          </w:p>
        </w:tc>
        <w:tc>
          <w:tcPr>
            <w:tcW w:w="4487" w:type="dxa"/>
          </w:tcPr>
          <w:p w14:paraId="5205B0FA" w14:textId="47D79077" w:rsidR="00EE2D6E" w:rsidRDefault="00EE2D6E" w:rsidP="00BC58C2">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OK to consider</w:t>
            </w:r>
          </w:p>
        </w:tc>
      </w:tr>
    </w:tbl>
    <w:p w14:paraId="26DDFF19" w14:textId="2D902DC3" w:rsidR="00C46E01" w:rsidRDefault="00C46E01" w:rsidP="00BC58C2">
      <w:pPr>
        <w:spacing w:after="0"/>
        <w:ind w:left="360"/>
        <w:textAlignment w:val="center"/>
        <w:rPr>
          <w:rFonts w:ascii="Calibri" w:eastAsia="Times New Roman" w:hAnsi="Calibri" w:cs="Calibri"/>
          <w:sz w:val="22"/>
          <w:szCs w:val="22"/>
          <w:lang w:val="en-US"/>
        </w:rPr>
      </w:pPr>
    </w:p>
    <w:p w14:paraId="0F3856DA" w14:textId="7F68A7D5" w:rsidR="00C46E01" w:rsidRDefault="00C46E01" w:rsidP="00BC58C2">
      <w:pPr>
        <w:spacing w:after="0"/>
        <w:ind w:left="360"/>
        <w:textAlignment w:val="center"/>
        <w:rPr>
          <w:rFonts w:ascii="Calibri" w:eastAsia="Times New Roman" w:hAnsi="Calibri" w:cs="Calibri"/>
          <w:sz w:val="22"/>
          <w:szCs w:val="22"/>
          <w:lang w:val="en-US"/>
        </w:rPr>
      </w:pPr>
    </w:p>
    <w:p w14:paraId="2F26F11F" w14:textId="0CF43A17" w:rsidR="00E437BF" w:rsidRPr="00E437BF" w:rsidRDefault="00E437BF" w:rsidP="00E437BF">
      <w:pPr>
        <w:spacing w:after="0"/>
        <w:rPr>
          <w:rFonts w:ascii="Calibri" w:eastAsia="Times New Roman" w:hAnsi="Calibri" w:cs="Calibri"/>
          <w:sz w:val="22"/>
          <w:szCs w:val="22"/>
          <w:lang w:val="en-US"/>
        </w:rPr>
      </w:pPr>
      <w:r w:rsidRPr="00E437BF">
        <w:rPr>
          <w:rFonts w:ascii="Calibri" w:eastAsia="Times New Roman" w:hAnsi="Calibri" w:cs="Calibri"/>
          <w:b/>
          <w:bCs/>
          <w:sz w:val="22"/>
          <w:szCs w:val="22"/>
          <w:lang w:val="en-US"/>
        </w:rPr>
        <w:t xml:space="preserve">Proposal </w:t>
      </w:r>
      <w:r w:rsidR="00C96FC9">
        <w:rPr>
          <w:rFonts w:ascii="Calibri" w:eastAsia="Times New Roman" w:hAnsi="Calibri" w:cs="Calibri"/>
          <w:b/>
          <w:bCs/>
          <w:sz w:val="22"/>
          <w:szCs w:val="22"/>
          <w:lang w:val="en-US"/>
        </w:rPr>
        <w:t>9</w:t>
      </w:r>
      <w:r w:rsidRPr="00E437BF">
        <w:rPr>
          <w:rFonts w:ascii="Calibri" w:eastAsia="Times New Roman" w:hAnsi="Calibri" w:cs="Calibri"/>
          <w:sz w:val="22"/>
          <w:szCs w:val="22"/>
          <w:lang w:val="en-US"/>
        </w:rPr>
        <w:t>: There is no need to consider Sub-Case b1/Sub-Case b2/Case c</w:t>
      </w:r>
      <w:r w:rsidR="00EE2D6E">
        <w:rPr>
          <w:rFonts w:ascii="Calibri" w:eastAsia="Times New Roman" w:hAnsi="Calibri" w:cs="Calibri"/>
          <w:sz w:val="22"/>
          <w:szCs w:val="22"/>
          <w:lang w:val="en-US"/>
        </w:rPr>
        <w:t xml:space="preserve">/Case d/Case </w:t>
      </w:r>
      <w:r w:rsidRPr="00E437BF">
        <w:rPr>
          <w:rFonts w:ascii="Calibri" w:eastAsia="Times New Roman" w:hAnsi="Calibri" w:cs="Calibri"/>
          <w:sz w:val="22"/>
          <w:szCs w:val="22"/>
          <w:lang w:val="en-US"/>
        </w:rPr>
        <w:t>e</w:t>
      </w:r>
    </w:p>
    <w:p w14:paraId="74C2DB03" w14:textId="77777777" w:rsidR="00E437BF" w:rsidRPr="00E437BF" w:rsidRDefault="00E437BF" w:rsidP="00E437BF">
      <w:pPr>
        <w:spacing w:after="0"/>
        <w:rPr>
          <w:rFonts w:ascii="Calibri" w:eastAsia="Times New Roman" w:hAnsi="Calibri" w:cs="Calibri"/>
          <w:sz w:val="22"/>
          <w:szCs w:val="22"/>
          <w:lang w:val="en-US"/>
        </w:rPr>
      </w:pPr>
      <w:r w:rsidRPr="00E437BF">
        <w:rPr>
          <w:rFonts w:ascii="Calibri" w:eastAsia="Times New Roman" w:hAnsi="Calibri" w:cs="Calibri"/>
          <w:sz w:val="22"/>
          <w:szCs w:val="22"/>
          <w:lang w:val="en-US"/>
        </w:rPr>
        <w:t> </w:t>
      </w:r>
    </w:p>
    <w:p w14:paraId="725906B6" w14:textId="142D4E4C" w:rsidR="00E437BF" w:rsidRPr="00E437BF" w:rsidRDefault="00E437BF" w:rsidP="00E437BF">
      <w:pPr>
        <w:spacing w:after="0"/>
        <w:rPr>
          <w:rFonts w:ascii="Calibri" w:eastAsia="Times New Roman" w:hAnsi="Calibri" w:cs="Calibri"/>
          <w:sz w:val="22"/>
          <w:szCs w:val="22"/>
          <w:lang w:val="en-US"/>
        </w:rPr>
      </w:pPr>
      <w:r w:rsidRPr="00E437BF">
        <w:rPr>
          <w:rFonts w:ascii="Calibri" w:eastAsia="Times New Roman" w:hAnsi="Calibri" w:cs="Calibri"/>
          <w:b/>
          <w:bCs/>
          <w:sz w:val="22"/>
          <w:szCs w:val="22"/>
          <w:lang w:val="en-US"/>
        </w:rPr>
        <w:t>Proposal 1</w:t>
      </w:r>
      <w:r w:rsidR="00C96FC9">
        <w:rPr>
          <w:rFonts w:ascii="Calibri" w:eastAsia="Times New Roman" w:hAnsi="Calibri" w:cs="Calibri"/>
          <w:b/>
          <w:bCs/>
          <w:sz w:val="22"/>
          <w:szCs w:val="22"/>
          <w:lang w:val="en-US"/>
        </w:rPr>
        <w:t>0</w:t>
      </w:r>
      <w:r w:rsidRPr="00E437BF">
        <w:rPr>
          <w:rFonts w:ascii="Calibri" w:eastAsia="Times New Roman" w:hAnsi="Calibri" w:cs="Calibri"/>
          <w:sz w:val="22"/>
          <w:szCs w:val="22"/>
          <w:lang w:val="en-US"/>
        </w:rPr>
        <w:t>: Consider Case f for any MRO enhancements</w:t>
      </w:r>
    </w:p>
    <w:p w14:paraId="5C636170" w14:textId="77777777" w:rsidR="00E437BF" w:rsidRPr="00E437BF" w:rsidRDefault="00E437BF" w:rsidP="00E437BF">
      <w:pPr>
        <w:numPr>
          <w:ilvl w:val="0"/>
          <w:numId w:val="20"/>
        </w:numPr>
        <w:spacing w:after="0"/>
        <w:textAlignment w:val="center"/>
        <w:rPr>
          <w:rFonts w:ascii="Calibri" w:eastAsia="Times New Roman" w:hAnsi="Calibri" w:cs="Calibri"/>
          <w:sz w:val="22"/>
          <w:szCs w:val="22"/>
          <w:lang w:val="en-US"/>
        </w:rPr>
      </w:pPr>
      <w:r w:rsidRPr="007B54FE">
        <w:rPr>
          <w:rFonts w:ascii="Calibri" w:eastAsia="Times New Roman" w:hAnsi="Calibri" w:cs="Calibri"/>
          <w:b/>
          <w:bCs/>
          <w:sz w:val="22"/>
          <w:szCs w:val="22"/>
          <w:lang w:val="en-US"/>
        </w:rPr>
        <w:t>Case f:</w:t>
      </w:r>
      <w:r w:rsidRPr="00E437BF">
        <w:rPr>
          <w:rFonts w:ascii="Calibri" w:eastAsia="Times New Roman" w:hAnsi="Calibri" w:cs="Calibri"/>
          <w:sz w:val="22"/>
          <w:szCs w:val="22"/>
          <w:lang w:val="en-US"/>
        </w:rPr>
        <w:t xml:space="preserve">  dual failure case, i.e., MCG failure occur while at about the same time SCG is deactivated/suspended/de-configured.</w:t>
      </w:r>
    </w:p>
    <w:p w14:paraId="6B9DE020" w14:textId="77777777" w:rsidR="00E437BF" w:rsidRPr="00E437BF" w:rsidRDefault="00E437BF" w:rsidP="00E437BF">
      <w:pPr>
        <w:spacing w:after="0"/>
        <w:rPr>
          <w:rFonts w:ascii="Calibri" w:eastAsia="Times New Roman" w:hAnsi="Calibri" w:cs="Calibri"/>
          <w:sz w:val="22"/>
          <w:szCs w:val="22"/>
          <w:lang w:val="en-US"/>
        </w:rPr>
      </w:pPr>
      <w:r w:rsidRPr="00E437BF">
        <w:rPr>
          <w:rFonts w:ascii="Calibri" w:eastAsia="Times New Roman" w:hAnsi="Calibri" w:cs="Calibri"/>
          <w:sz w:val="22"/>
          <w:szCs w:val="22"/>
          <w:lang w:val="en-US"/>
        </w:rPr>
        <w:t> </w:t>
      </w:r>
    </w:p>
    <w:p w14:paraId="795A5810" w14:textId="320EA42C" w:rsidR="000426F6" w:rsidRPr="00596B14" w:rsidRDefault="000426F6" w:rsidP="000426F6">
      <w:pPr>
        <w:spacing w:after="0"/>
        <w:rPr>
          <w:rFonts w:asciiTheme="minorHAnsi" w:eastAsia="Times New Roman" w:hAnsiTheme="minorHAnsi" w:cstheme="minorHAnsi"/>
          <w:sz w:val="22"/>
          <w:szCs w:val="22"/>
          <w:lang w:val="en-US"/>
        </w:rPr>
      </w:pPr>
    </w:p>
    <w:p w14:paraId="659A8F36" w14:textId="10606A2B" w:rsidR="008562A2" w:rsidRPr="003E17E3" w:rsidRDefault="008562A2" w:rsidP="008562A2">
      <w:pPr>
        <w:pStyle w:val="Heading1"/>
        <w:numPr>
          <w:ilvl w:val="0"/>
          <w:numId w:val="2"/>
        </w:numPr>
        <w:pBdr>
          <w:top w:val="single" w:sz="12" w:space="2" w:color="auto"/>
        </w:pBdr>
        <w:rPr>
          <w:rFonts w:asciiTheme="minorHAnsi" w:hAnsiTheme="minorHAnsi" w:cstheme="minorHAnsi"/>
          <w:sz w:val="32"/>
          <w:szCs w:val="32"/>
          <w:lang w:eastAsia="ja-JP"/>
        </w:rPr>
      </w:pPr>
      <w:r w:rsidRPr="003E17E3">
        <w:rPr>
          <w:rFonts w:asciiTheme="minorHAnsi" w:hAnsiTheme="minorHAnsi" w:cstheme="minorHAnsi"/>
          <w:sz w:val="32"/>
          <w:szCs w:val="32"/>
          <w:lang w:eastAsia="ja-JP"/>
        </w:rPr>
        <w:t>Conclusion</w:t>
      </w:r>
    </w:p>
    <w:p w14:paraId="484D590E" w14:textId="109B157D" w:rsidR="00D0534F" w:rsidRPr="00D0534F" w:rsidRDefault="00D0534F" w:rsidP="00D0534F">
      <w:pPr>
        <w:spacing w:after="0"/>
        <w:rPr>
          <w:rFonts w:ascii="Calibri" w:eastAsia="Times New Roman" w:hAnsi="Calibri" w:cs="Calibri"/>
          <w:b/>
          <w:bCs/>
          <w:sz w:val="24"/>
          <w:szCs w:val="24"/>
          <w:u w:val="single"/>
          <w:lang w:val="en-US"/>
        </w:rPr>
      </w:pPr>
      <w:r w:rsidRPr="00D0534F">
        <w:rPr>
          <w:rFonts w:ascii="Calibri" w:eastAsia="Times New Roman" w:hAnsi="Calibri" w:cs="Calibri"/>
          <w:b/>
          <w:bCs/>
          <w:sz w:val="24"/>
          <w:szCs w:val="24"/>
          <w:u w:val="single"/>
          <w:lang w:val="en-US"/>
        </w:rPr>
        <w:t>MRO for CPAC</w:t>
      </w:r>
    </w:p>
    <w:p w14:paraId="28942611" w14:textId="77777777" w:rsidR="00D0534F" w:rsidRPr="00D0534F" w:rsidRDefault="00D0534F" w:rsidP="00D0534F">
      <w:pPr>
        <w:spacing w:after="0"/>
        <w:rPr>
          <w:rFonts w:ascii="Calibri" w:eastAsia="Times New Roman" w:hAnsi="Calibri" w:cs="Calibri"/>
          <w:b/>
          <w:bCs/>
          <w:sz w:val="22"/>
          <w:szCs w:val="22"/>
          <w:u w:val="single"/>
          <w:lang w:val="en-US"/>
        </w:rPr>
      </w:pPr>
    </w:p>
    <w:p w14:paraId="359B3E6D" w14:textId="4E665EBD" w:rsidR="00D0534F" w:rsidRPr="001D5888" w:rsidRDefault="00D0534F" w:rsidP="00D0534F">
      <w:pPr>
        <w:spacing w:after="0"/>
        <w:rPr>
          <w:rFonts w:ascii="Calibri" w:eastAsia="Times New Roman" w:hAnsi="Calibri" w:cs="Calibri"/>
          <w:sz w:val="22"/>
          <w:szCs w:val="22"/>
          <w:lang w:val="en-US"/>
        </w:rPr>
      </w:pPr>
      <w:r w:rsidRPr="005A19A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w:t>
      </w:r>
      <w:r w:rsidRPr="001D5888">
        <w:rPr>
          <w:rFonts w:ascii="Calibri" w:eastAsia="Times New Roman" w:hAnsi="Calibri" w:cs="Calibri"/>
          <w:sz w:val="22"/>
          <w:szCs w:val="22"/>
          <w:lang w:val="en-US"/>
        </w:rPr>
        <w:t xml:space="preserve">It is not clear what is meant by </w:t>
      </w:r>
      <w:r>
        <w:rPr>
          <w:rFonts w:ascii="Calibri" w:eastAsia="Times New Roman" w:hAnsi="Calibri" w:cs="Calibri"/>
          <w:sz w:val="22"/>
          <w:szCs w:val="22"/>
          <w:lang w:val="en-US"/>
        </w:rPr>
        <w:t>“</w:t>
      </w:r>
      <w:r w:rsidRPr="001D5888">
        <w:rPr>
          <w:rFonts w:ascii="Calibri" w:eastAsia="Times New Roman" w:hAnsi="Calibri" w:cs="Calibri"/>
          <w:sz w:val="22"/>
          <w:szCs w:val="22"/>
          <w:lang w:val="en-US"/>
        </w:rPr>
        <w:t>no suitable PSCell is found</w:t>
      </w:r>
      <w:r>
        <w:rPr>
          <w:rFonts w:ascii="Calibri" w:eastAsia="Times New Roman" w:hAnsi="Calibri" w:cs="Calibri"/>
          <w:sz w:val="22"/>
          <w:szCs w:val="22"/>
          <w:lang w:val="en-US"/>
        </w:rPr>
        <w:t>” in the definition of Too Early CPA Execution.</w:t>
      </w:r>
    </w:p>
    <w:p w14:paraId="4FE5D922" w14:textId="77777777" w:rsidR="00D0534F" w:rsidRDefault="00D0534F" w:rsidP="00D0534F">
      <w:pPr>
        <w:spacing w:after="0"/>
        <w:rPr>
          <w:rFonts w:ascii="Calibri" w:eastAsia="Times New Roman" w:hAnsi="Calibri" w:cs="Calibri"/>
          <w:b/>
          <w:bCs/>
          <w:sz w:val="22"/>
          <w:szCs w:val="22"/>
          <w:lang w:val="en-US"/>
        </w:rPr>
      </w:pPr>
    </w:p>
    <w:p w14:paraId="1FB6ABD9" w14:textId="34A598DB" w:rsidR="00D0534F" w:rsidRPr="001676E7" w:rsidRDefault="00D0534F" w:rsidP="00D0534F">
      <w:pPr>
        <w:spacing w:after="0"/>
        <w:rPr>
          <w:rFonts w:ascii="Calibri" w:eastAsia="Times New Roman" w:hAnsi="Calibri" w:cs="Calibri"/>
          <w:sz w:val="22"/>
          <w:szCs w:val="22"/>
          <w:lang w:val="en-US"/>
        </w:rPr>
      </w:pPr>
      <w:r w:rsidRPr="001676E7">
        <w:rPr>
          <w:rFonts w:ascii="Calibri" w:eastAsia="Times New Roman" w:hAnsi="Calibri" w:cs="Calibri"/>
          <w:b/>
          <w:bCs/>
          <w:sz w:val="22"/>
          <w:szCs w:val="22"/>
          <w:lang w:val="en-US"/>
        </w:rPr>
        <w:t>Proposal 1</w:t>
      </w:r>
      <w:r w:rsidRPr="001676E7">
        <w:rPr>
          <w:rFonts w:ascii="Calibri" w:eastAsia="Times New Roman" w:hAnsi="Calibri" w:cs="Calibri"/>
          <w:sz w:val="22"/>
          <w:szCs w:val="22"/>
          <w:lang w:val="en-US"/>
        </w:rPr>
        <w:t xml:space="preserve">: There is no need to consider </w:t>
      </w:r>
      <w:r w:rsidRPr="001D5888">
        <w:rPr>
          <w:rFonts w:ascii="Calibri" w:eastAsia="Times New Roman" w:hAnsi="Calibri" w:cs="Calibri"/>
          <w:sz w:val="22"/>
          <w:szCs w:val="22"/>
          <w:lang w:val="en-US"/>
        </w:rPr>
        <w:t>Too Early CPA Execution</w:t>
      </w:r>
    </w:p>
    <w:p w14:paraId="6DA1BAF0" w14:textId="77777777" w:rsidR="00D0534F" w:rsidRDefault="00D0534F" w:rsidP="00D0534F">
      <w:pPr>
        <w:spacing w:after="0"/>
        <w:rPr>
          <w:rFonts w:asciiTheme="minorHAnsi" w:hAnsiTheme="minorHAnsi" w:cstheme="minorHAnsi"/>
          <w:b/>
          <w:bCs/>
          <w:iCs/>
          <w:sz w:val="22"/>
          <w:szCs w:val="22"/>
        </w:rPr>
      </w:pPr>
    </w:p>
    <w:p w14:paraId="3DEB6BEA" w14:textId="3FC7C372" w:rsidR="00D0534F" w:rsidRPr="00596B14" w:rsidRDefault="00D0534F" w:rsidP="00D0534F">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2</w:t>
      </w:r>
      <w:r w:rsidRPr="00596B14">
        <w:rPr>
          <w:rFonts w:asciiTheme="minorHAnsi" w:hAnsiTheme="minorHAnsi" w:cstheme="minorHAnsi"/>
          <w:iCs/>
          <w:sz w:val="22"/>
          <w:szCs w:val="22"/>
        </w:rPr>
        <w:t xml:space="preserve">: RAN3 should discuss </w:t>
      </w:r>
      <w:r>
        <w:rPr>
          <w:rFonts w:asciiTheme="minorHAnsi" w:hAnsiTheme="minorHAnsi" w:cstheme="minorHAnsi"/>
          <w:iCs/>
          <w:sz w:val="22"/>
          <w:szCs w:val="22"/>
        </w:rPr>
        <w:t>whether a network-based solution can be defined</w:t>
      </w:r>
      <w:r w:rsidRPr="00596B14">
        <w:rPr>
          <w:rFonts w:asciiTheme="minorHAnsi" w:hAnsiTheme="minorHAnsi" w:cstheme="minorHAnsi"/>
          <w:iCs/>
          <w:sz w:val="22"/>
          <w:szCs w:val="22"/>
        </w:rPr>
        <w:t xml:space="preserve"> to optimize the set of candidate PSCells and execution conditions during CPA/CPC</w:t>
      </w:r>
    </w:p>
    <w:p w14:paraId="7D2DBD7E" w14:textId="77777777" w:rsidR="00D0534F" w:rsidRDefault="00D0534F" w:rsidP="00D0534F">
      <w:pPr>
        <w:spacing w:after="0"/>
        <w:rPr>
          <w:rFonts w:asciiTheme="minorHAnsi" w:hAnsiTheme="minorHAnsi" w:cstheme="minorHAnsi"/>
          <w:b/>
          <w:bCs/>
          <w:iCs/>
          <w:sz w:val="22"/>
          <w:szCs w:val="22"/>
        </w:rPr>
      </w:pPr>
    </w:p>
    <w:p w14:paraId="0B97BFCF" w14:textId="708D70D0" w:rsidR="00D0534F" w:rsidRPr="00596B14" w:rsidRDefault="00D0534F" w:rsidP="00D0534F">
      <w:pPr>
        <w:spacing w:after="0"/>
        <w:rPr>
          <w:rFonts w:asciiTheme="minorHAnsi" w:hAnsiTheme="minorHAnsi" w:cstheme="minorHAnsi"/>
          <w:iCs/>
          <w:sz w:val="22"/>
          <w:szCs w:val="22"/>
        </w:rPr>
      </w:pPr>
      <w:r w:rsidRPr="00596B14">
        <w:rPr>
          <w:rFonts w:asciiTheme="minorHAnsi" w:hAnsiTheme="minorHAnsi" w:cstheme="minorHAnsi"/>
          <w:b/>
          <w:bCs/>
          <w:iCs/>
          <w:sz w:val="22"/>
          <w:szCs w:val="22"/>
        </w:rPr>
        <w:t xml:space="preserve">Observation </w:t>
      </w:r>
      <w:r>
        <w:rPr>
          <w:rFonts w:asciiTheme="minorHAnsi" w:hAnsiTheme="minorHAnsi" w:cstheme="minorHAnsi"/>
          <w:b/>
          <w:bCs/>
          <w:iCs/>
          <w:sz w:val="22"/>
          <w:szCs w:val="22"/>
        </w:rPr>
        <w:t>1</w:t>
      </w:r>
      <w:r w:rsidRPr="00596B14">
        <w:rPr>
          <w:rFonts w:asciiTheme="minorHAnsi" w:hAnsiTheme="minorHAnsi" w:cstheme="minorHAnsi"/>
          <w:iCs/>
          <w:sz w:val="22"/>
          <w:szCs w:val="22"/>
        </w:rPr>
        <w:t>: Rel-17 supports different CPC procedures such as MN initiated inter-SN CPC, SN initiated inter-SN CPC and intra-SN CPC without MN involvement</w:t>
      </w:r>
    </w:p>
    <w:p w14:paraId="3E3591E2" w14:textId="77777777" w:rsidR="00D0534F" w:rsidRDefault="00D0534F" w:rsidP="00D0534F">
      <w:pPr>
        <w:spacing w:after="0"/>
        <w:rPr>
          <w:rFonts w:asciiTheme="minorHAnsi" w:hAnsiTheme="minorHAnsi" w:cstheme="minorHAnsi"/>
          <w:b/>
          <w:bCs/>
          <w:iCs/>
          <w:sz w:val="22"/>
          <w:szCs w:val="22"/>
        </w:rPr>
      </w:pPr>
    </w:p>
    <w:p w14:paraId="57A62CD5" w14:textId="5ECB7432" w:rsidR="00D0534F" w:rsidRPr="00596B14" w:rsidRDefault="00D0534F" w:rsidP="00D0534F">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3:</w:t>
      </w:r>
      <w:r w:rsidRPr="00596B14">
        <w:rPr>
          <w:rFonts w:asciiTheme="minorHAnsi" w:hAnsiTheme="minorHAnsi" w:cstheme="minorHAnsi"/>
          <w:iCs/>
          <w:sz w:val="22"/>
          <w:szCs w:val="22"/>
        </w:rPr>
        <w:t xml:space="preserve"> The node that initiates the CPC is responsible for performing the root cause analysis i.e., determines the CPC failure type, optimizes the CPC execution conditions and candidate PSCell list</w:t>
      </w:r>
    </w:p>
    <w:p w14:paraId="7C6F6EBB" w14:textId="77777777" w:rsidR="00D0534F" w:rsidRDefault="00D0534F" w:rsidP="00D0534F">
      <w:pPr>
        <w:spacing w:after="0"/>
        <w:rPr>
          <w:rFonts w:asciiTheme="minorHAnsi" w:hAnsiTheme="minorHAnsi" w:cstheme="minorHAnsi"/>
          <w:b/>
          <w:bCs/>
          <w:iCs/>
          <w:color w:val="000000" w:themeColor="text1"/>
          <w:sz w:val="22"/>
          <w:szCs w:val="22"/>
        </w:rPr>
      </w:pPr>
    </w:p>
    <w:p w14:paraId="1D12CFE8" w14:textId="282A5E46" w:rsidR="00D0534F" w:rsidRPr="00596B14" w:rsidRDefault="00D0534F" w:rsidP="00D0534F">
      <w:pPr>
        <w:spacing w:after="0"/>
        <w:rPr>
          <w:rFonts w:asciiTheme="minorHAnsi" w:hAnsiTheme="minorHAnsi" w:cstheme="minorHAnsi"/>
          <w:iCs/>
          <w:color w:val="000000" w:themeColor="text1"/>
          <w:sz w:val="22"/>
          <w:szCs w:val="22"/>
        </w:rPr>
      </w:pPr>
      <w:r w:rsidRPr="00596B14">
        <w:rPr>
          <w:rFonts w:asciiTheme="minorHAnsi" w:hAnsiTheme="minorHAnsi" w:cstheme="minorHAnsi"/>
          <w:b/>
          <w:bCs/>
          <w:iCs/>
          <w:color w:val="000000" w:themeColor="text1"/>
          <w:sz w:val="22"/>
          <w:szCs w:val="22"/>
        </w:rPr>
        <w:t>Observation</w:t>
      </w:r>
      <w:r w:rsidRPr="00596B14">
        <w:rPr>
          <w:rFonts w:asciiTheme="minorHAnsi" w:hAnsiTheme="minorHAnsi" w:cstheme="minorHAnsi"/>
          <w:iCs/>
          <w:color w:val="000000" w:themeColor="text1"/>
          <w:sz w:val="22"/>
          <w:szCs w:val="22"/>
        </w:rPr>
        <w:t xml:space="preserve"> </w:t>
      </w:r>
      <w:r>
        <w:rPr>
          <w:rFonts w:asciiTheme="minorHAnsi" w:hAnsiTheme="minorHAnsi" w:cstheme="minorHAnsi"/>
          <w:b/>
          <w:bCs/>
          <w:iCs/>
          <w:color w:val="000000" w:themeColor="text1"/>
          <w:sz w:val="22"/>
          <w:szCs w:val="22"/>
        </w:rPr>
        <w:t>2</w:t>
      </w:r>
      <w:r w:rsidRPr="00596B14">
        <w:rPr>
          <w:rFonts w:asciiTheme="minorHAnsi" w:hAnsiTheme="minorHAnsi" w:cstheme="minorHAnsi"/>
          <w:iCs/>
          <w:color w:val="000000" w:themeColor="text1"/>
          <w:sz w:val="22"/>
          <w:szCs w:val="22"/>
        </w:rPr>
        <w:t>: In Rel-17, MN provides PSCell change failure related information (including PSCell measurements) to last serving SN via SCG FAILURE INFORMATION REPORT over Xn and last serving SN can feedback MN via SCG FAILURE TRANSFER if the root cause of SCG failure may have occurred in the other nodes</w:t>
      </w:r>
    </w:p>
    <w:p w14:paraId="16F89A44" w14:textId="77777777" w:rsidR="00D0534F" w:rsidRDefault="00D0534F" w:rsidP="00D0534F">
      <w:pPr>
        <w:spacing w:after="0"/>
        <w:rPr>
          <w:rFonts w:asciiTheme="minorHAnsi" w:hAnsiTheme="minorHAnsi" w:cstheme="minorHAnsi"/>
          <w:b/>
          <w:bCs/>
          <w:iCs/>
          <w:sz w:val="22"/>
          <w:szCs w:val="22"/>
        </w:rPr>
      </w:pPr>
    </w:p>
    <w:p w14:paraId="75BEB9AA" w14:textId="59F7EAD4" w:rsidR="00D0534F" w:rsidRPr="00596B14" w:rsidRDefault="00D0534F" w:rsidP="00D0534F">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4</w:t>
      </w:r>
      <w:r w:rsidRPr="00596B14">
        <w:rPr>
          <w:rFonts w:asciiTheme="minorHAnsi" w:hAnsiTheme="minorHAnsi" w:cstheme="minorHAnsi"/>
          <w:iCs/>
          <w:sz w:val="22"/>
          <w:szCs w:val="22"/>
        </w:rPr>
        <w:t>: Reuse SCG FAILURE INFORMATION REPORT over Xn for MN to report CPA/CPC failure related information to SN</w:t>
      </w:r>
    </w:p>
    <w:p w14:paraId="4FFD2172" w14:textId="77777777" w:rsidR="00D0534F" w:rsidRDefault="00D0534F" w:rsidP="00D0534F">
      <w:pPr>
        <w:spacing w:after="0"/>
        <w:rPr>
          <w:rFonts w:asciiTheme="minorHAnsi" w:hAnsiTheme="minorHAnsi" w:cstheme="minorHAnsi"/>
          <w:b/>
          <w:bCs/>
          <w:iCs/>
          <w:sz w:val="22"/>
          <w:szCs w:val="22"/>
        </w:rPr>
      </w:pPr>
    </w:p>
    <w:p w14:paraId="30E5AC6A" w14:textId="5A42CE9C" w:rsidR="00D0534F" w:rsidRPr="00B665FC" w:rsidRDefault="00D0534F" w:rsidP="00D0534F">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5:</w:t>
      </w:r>
      <w:r w:rsidRPr="00596B14">
        <w:rPr>
          <w:rFonts w:asciiTheme="minorHAnsi" w:hAnsiTheme="minorHAnsi" w:cstheme="minorHAnsi"/>
          <w:iCs/>
          <w:sz w:val="22"/>
          <w:szCs w:val="22"/>
        </w:rPr>
        <w:t xml:space="preserve"> </w:t>
      </w:r>
      <w:r>
        <w:rPr>
          <w:rFonts w:asciiTheme="minorHAnsi" w:hAnsiTheme="minorHAnsi" w:cstheme="minorHAnsi"/>
          <w:iCs/>
          <w:sz w:val="22"/>
          <w:szCs w:val="22"/>
        </w:rPr>
        <w:t>RAN3 should discuss whether to reuse</w:t>
      </w:r>
      <w:r w:rsidRPr="00596B14">
        <w:rPr>
          <w:rFonts w:asciiTheme="minorHAnsi" w:hAnsiTheme="minorHAnsi" w:cstheme="minorHAnsi"/>
          <w:iCs/>
          <w:sz w:val="22"/>
          <w:szCs w:val="22"/>
        </w:rPr>
        <w:t xml:space="preserve"> SCG FAILURE TRANSFER to inform MN that the root cause of CPC failure may have occurred in other nodes</w:t>
      </w:r>
      <w:r>
        <w:rPr>
          <w:rFonts w:asciiTheme="minorHAnsi" w:hAnsiTheme="minorHAnsi" w:cstheme="minorHAnsi"/>
          <w:iCs/>
          <w:sz w:val="22"/>
          <w:szCs w:val="22"/>
        </w:rPr>
        <w:t xml:space="preserve"> (as in Rel-17 MRO for SCG failures) or whether the </w:t>
      </w:r>
      <w:r w:rsidRPr="00B665FC">
        <w:rPr>
          <w:rFonts w:asciiTheme="minorHAnsi" w:hAnsiTheme="minorHAnsi" w:cstheme="minorHAnsi"/>
          <w:i/>
          <w:sz w:val="22"/>
          <w:szCs w:val="22"/>
        </w:rPr>
        <w:t>SCG Reconfiguration Notification</w:t>
      </w:r>
      <w:r>
        <w:rPr>
          <w:rFonts w:asciiTheme="minorHAnsi" w:hAnsiTheme="minorHAnsi" w:cstheme="minorHAnsi"/>
          <w:iCs/>
          <w:sz w:val="22"/>
          <w:szCs w:val="22"/>
        </w:rPr>
        <w:t xml:space="preserve"> IE introduced in SN Modification Required is sufficient.</w:t>
      </w:r>
    </w:p>
    <w:p w14:paraId="339DB605" w14:textId="77777777" w:rsidR="00D0534F" w:rsidRDefault="00D0534F" w:rsidP="00D0534F">
      <w:pPr>
        <w:spacing w:after="0"/>
        <w:rPr>
          <w:rFonts w:asciiTheme="minorHAnsi" w:hAnsiTheme="minorHAnsi" w:cstheme="minorHAnsi"/>
          <w:b/>
          <w:bCs/>
          <w:iCs/>
          <w:sz w:val="22"/>
          <w:szCs w:val="22"/>
        </w:rPr>
      </w:pPr>
    </w:p>
    <w:p w14:paraId="76142982" w14:textId="3CF8E609" w:rsidR="00D0534F" w:rsidRPr="00596B14" w:rsidRDefault="00D0534F" w:rsidP="00D0534F">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6</w:t>
      </w:r>
      <w:r w:rsidRPr="00596B14">
        <w:rPr>
          <w:rFonts w:asciiTheme="minorHAnsi" w:hAnsiTheme="minorHAnsi" w:cstheme="minorHAnsi"/>
          <w:iCs/>
          <w:sz w:val="22"/>
          <w:szCs w:val="22"/>
        </w:rPr>
        <w:t xml:space="preserve">: RAN3 should study whether there is a need to distinguish PSCell addition/change failure with CPA/CPC execution failure and if so how to distinguish them e.g., MN can indicate SN about the PSCell addition/change type (conditional or not) over Xn </w:t>
      </w:r>
    </w:p>
    <w:p w14:paraId="3371A00B" w14:textId="77777777" w:rsidR="00D0534F" w:rsidRDefault="00D0534F" w:rsidP="00D0534F">
      <w:pPr>
        <w:spacing w:after="0"/>
        <w:rPr>
          <w:rFonts w:asciiTheme="minorHAnsi" w:hAnsiTheme="minorHAnsi" w:cstheme="minorHAnsi"/>
          <w:b/>
          <w:bCs/>
          <w:iCs/>
          <w:sz w:val="22"/>
          <w:szCs w:val="22"/>
        </w:rPr>
      </w:pPr>
    </w:p>
    <w:p w14:paraId="7E89599B" w14:textId="445CB3FC" w:rsidR="00D0534F" w:rsidRPr="00596B14" w:rsidRDefault="00D0534F" w:rsidP="00D0534F">
      <w:pPr>
        <w:spacing w:after="0"/>
        <w:rPr>
          <w:rFonts w:asciiTheme="minorHAnsi" w:hAnsiTheme="minorHAnsi" w:cstheme="minorHAnsi"/>
          <w:iCs/>
          <w:sz w:val="22"/>
          <w:szCs w:val="22"/>
        </w:rPr>
      </w:pPr>
      <w:r w:rsidRPr="00596B14">
        <w:rPr>
          <w:rFonts w:asciiTheme="minorHAnsi" w:hAnsiTheme="minorHAnsi" w:cstheme="minorHAnsi"/>
          <w:b/>
          <w:bCs/>
          <w:iCs/>
          <w:sz w:val="22"/>
          <w:szCs w:val="22"/>
        </w:rPr>
        <w:lastRenderedPageBreak/>
        <w:t>Proposal 7</w:t>
      </w:r>
      <w:r w:rsidRPr="00596B14">
        <w:rPr>
          <w:rFonts w:asciiTheme="minorHAnsi" w:hAnsiTheme="minorHAnsi" w:cstheme="minorHAnsi"/>
          <w:iCs/>
          <w:sz w:val="22"/>
          <w:szCs w:val="22"/>
        </w:rPr>
        <w:t>: RAN3 should study whether to define some new timers that can be helpful in the detection of CPC failure types e.g., time elapsed since the last CPC configuration until SCG failure or time elapsed since CPC execution until SCG failure</w:t>
      </w:r>
    </w:p>
    <w:p w14:paraId="3954B7F2" w14:textId="2F934E2B" w:rsidR="00D0534F" w:rsidRDefault="00D0534F" w:rsidP="00D0534F">
      <w:pPr>
        <w:spacing w:after="0"/>
        <w:rPr>
          <w:rFonts w:ascii="Calibri" w:eastAsia="Times New Roman" w:hAnsi="Calibri" w:cs="Calibri"/>
          <w:b/>
          <w:bCs/>
          <w:sz w:val="22"/>
          <w:szCs w:val="22"/>
          <w:lang w:val="en-US"/>
        </w:rPr>
      </w:pPr>
    </w:p>
    <w:p w14:paraId="412A8D9B" w14:textId="5EA2D1EC" w:rsidR="0031435E" w:rsidRPr="0031435E" w:rsidRDefault="0031435E" w:rsidP="00D0534F">
      <w:pPr>
        <w:spacing w:after="0"/>
        <w:rPr>
          <w:rFonts w:ascii="Calibri" w:eastAsia="Times New Roman" w:hAnsi="Calibri" w:cs="Calibri"/>
          <w:b/>
          <w:bCs/>
          <w:sz w:val="22"/>
          <w:szCs w:val="22"/>
          <w:u w:val="single"/>
          <w:lang w:val="en-US"/>
        </w:rPr>
      </w:pPr>
      <w:r w:rsidRPr="0031435E">
        <w:rPr>
          <w:rFonts w:ascii="Calibri" w:eastAsia="Times New Roman" w:hAnsi="Calibri" w:cs="Calibri"/>
          <w:b/>
          <w:bCs/>
          <w:sz w:val="22"/>
          <w:szCs w:val="22"/>
          <w:u w:val="single"/>
          <w:lang w:val="en-US"/>
        </w:rPr>
        <w:t>MRO for MR-DC SCG failures</w:t>
      </w:r>
    </w:p>
    <w:p w14:paraId="17A7D380" w14:textId="77777777" w:rsidR="0031435E" w:rsidRDefault="0031435E" w:rsidP="00D0534F">
      <w:pPr>
        <w:spacing w:after="0"/>
        <w:rPr>
          <w:rFonts w:ascii="Calibri" w:eastAsia="Times New Roman" w:hAnsi="Calibri" w:cs="Calibri"/>
          <w:b/>
          <w:bCs/>
          <w:sz w:val="22"/>
          <w:szCs w:val="22"/>
          <w:lang w:val="en-US"/>
        </w:rPr>
      </w:pPr>
    </w:p>
    <w:p w14:paraId="763F9966" w14:textId="29158324" w:rsidR="00D0534F" w:rsidRPr="009028FB" w:rsidRDefault="00D0534F" w:rsidP="00D0534F">
      <w:pPr>
        <w:spacing w:after="0"/>
        <w:rPr>
          <w:rFonts w:ascii="Calibri" w:eastAsia="Times New Roman" w:hAnsi="Calibri" w:cs="Calibri"/>
          <w:sz w:val="22"/>
          <w:szCs w:val="22"/>
          <w:lang w:val="en-US"/>
        </w:rPr>
      </w:pPr>
      <w:r w:rsidRPr="009028F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sidRPr="009028FB">
        <w:rPr>
          <w:rFonts w:ascii="Calibri" w:eastAsia="Times New Roman" w:hAnsi="Calibri" w:cs="Calibri"/>
          <w:sz w:val="22"/>
          <w:szCs w:val="22"/>
          <w:lang w:val="en-US"/>
        </w:rPr>
        <w:t>: Rel-17 supports MRO for only NR-DC failures. Upon receiving SCGFailureInformation from UE, MN sends SCG FAILURE INFORMATION REPORT to last serving SN. Further, last serving SN can inform MN whether the SCG failure occurred or not via SCG FAILURE TRANSFER over Xn</w:t>
      </w:r>
    </w:p>
    <w:p w14:paraId="5EAE8D1E" w14:textId="77777777" w:rsidR="00D0534F" w:rsidRDefault="00D0534F" w:rsidP="00D0534F">
      <w:pPr>
        <w:spacing w:after="0"/>
        <w:rPr>
          <w:rFonts w:ascii="Calibri" w:eastAsia="Times New Roman" w:hAnsi="Calibri" w:cs="Calibri"/>
          <w:b/>
          <w:bCs/>
          <w:sz w:val="22"/>
          <w:szCs w:val="22"/>
          <w:lang w:val="en-US"/>
        </w:rPr>
      </w:pPr>
    </w:p>
    <w:p w14:paraId="00ECD545" w14:textId="02219DC7" w:rsidR="00D0534F" w:rsidRPr="007D4027" w:rsidRDefault="00D0534F" w:rsidP="00D0534F">
      <w:pPr>
        <w:spacing w:after="0"/>
        <w:rPr>
          <w:rFonts w:ascii="Calibri" w:eastAsia="Times New Roman" w:hAnsi="Calibri" w:cs="Calibri"/>
          <w:sz w:val="22"/>
          <w:szCs w:val="22"/>
          <w:lang w:val="en-US"/>
        </w:rPr>
      </w:pPr>
      <w:r w:rsidRPr="00C633D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xml:space="preserve">: </w:t>
      </w:r>
      <w:r w:rsidRPr="00C633DB">
        <w:rPr>
          <w:rFonts w:ascii="Calibri" w:eastAsia="Times New Roman" w:hAnsi="Calibri" w:cs="Calibri"/>
          <w:sz w:val="22"/>
          <w:szCs w:val="22"/>
          <w:lang w:val="en-US"/>
        </w:rPr>
        <w:t>SCG failure information reported by the UE is always encoded in the format of the MN RAT</w:t>
      </w:r>
      <w:r>
        <w:rPr>
          <w:rFonts w:ascii="Calibri" w:eastAsia="Times New Roman" w:hAnsi="Calibri" w:cs="Calibri"/>
          <w:sz w:val="22"/>
          <w:szCs w:val="22"/>
          <w:lang w:val="en-US"/>
        </w:rPr>
        <w:t>. I</w:t>
      </w:r>
      <w:r w:rsidRPr="007D4027">
        <w:rPr>
          <w:rFonts w:ascii="Calibri" w:eastAsia="Times New Roman" w:hAnsi="Calibri" w:cs="Calibri"/>
          <w:sz w:val="22"/>
          <w:szCs w:val="22"/>
          <w:lang w:val="en-US"/>
        </w:rPr>
        <w:t>f the MN just forwards the SCG failure information from the UE to the SN</w:t>
      </w:r>
      <w:r>
        <w:rPr>
          <w:rFonts w:ascii="Calibri" w:eastAsia="Times New Roman" w:hAnsi="Calibri" w:cs="Calibri"/>
          <w:sz w:val="22"/>
          <w:szCs w:val="22"/>
          <w:lang w:val="en-US"/>
        </w:rPr>
        <w:t xml:space="preserve"> (i</w:t>
      </w:r>
      <w:r w:rsidRPr="00C633DB">
        <w:rPr>
          <w:rFonts w:ascii="Calibri" w:eastAsia="Times New Roman" w:hAnsi="Calibri" w:cs="Calibri"/>
          <w:sz w:val="22"/>
          <w:szCs w:val="22"/>
          <w:lang w:val="en-US"/>
        </w:rPr>
        <w:t>n case of NE-DC, (NG)EN-DC and EN-DC</w:t>
      </w:r>
      <w:r>
        <w:rPr>
          <w:rFonts w:ascii="Calibri" w:eastAsia="Times New Roman" w:hAnsi="Calibri" w:cs="Calibri"/>
          <w:sz w:val="22"/>
          <w:szCs w:val="22"/>
          <w:lang w:val="en-US"/>
        </w:rPr>
        <w:t>)</w:t>
      </w:r>
      <w:r w:rsidRPr="007D4027">
        <w:rPr>
          <w:rFonts w:ascii="Calibri" w:eastAsia="Times New Roman" w:hAnsi="Calibri" w:cs="Calibri"/>
          <w:sz w:val="22"/>
          <w:szCs w:val="22"/>
          <w:lang w:val="en-US"/>
        </w:rPr>
        <w:t>, it is impossible for the SN to decode it</w:t>
      </w:r>
    </w:p>
    <w:p w14:paraId="703813F5" w14:textId="77777777" w:rsidR="00D0534F" w:rsidRDefault="00D0534F" w:rsidP="00D0534F">
      <w:pPr>
        <w:spacing w:after="0"/>
        <w:rPr>
          <w:rFonts w:ascii="Calibri" w:eastAsia="Times New Roman" w:hAnsi="Calibri" w:cs="Calibri"/>
          <w:b/>
          <w:bCs/>
          <w:sz w:val="22"/>
          <w:szCs w:val="22"/>
          <w:lang w:val="en-US"/>
        </w:rPr>
      </w:pPr>
    </w:p>
    <w:p w14:paraId="18BE6B3F" w14:textId="6968B015" w:rsidR="00D0534F" w:rsidRPr="00C633DB" w:rsidRDefault="00D0534F" w:rsidP="00D0534F">
      <w:pPr>
        <w:spacing w:after="0"/>
        <w:rPr>
          <w:rFonts w:ascii="Calibri" w:eastAsia="Times New Roman" w:hAnsi="Calibri" w:cs="Calibri"/>
          <w:sz w:val="22"/>
          <w:szCs w:val="22"/>
          <w:lang w:val="en-US"/>
        </w:rPr>
      </w:pPr>
      <w:r w:rsidRPr="00C633D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I</w:t>
      </w:r>
      <w:r w:rsidRPr="00C96FC9">
        <w:rPr>
          <w:rFonts w:ascii="Calibri" w:eastAsia="Times New Roman" w:hAnsi="Calibri" w:cs="Calibri"/>
          <w:sz w:val="22"/>
          <w:szCs w:val="22"/>
          <w:lang w:val="en-US"/>
        </w:rPr>
        <w:t xml:space="preserve">n case of </w:t>
      </w:r>
      <w:r>
        <w:rPr>
          <w:rFonts w:ascii="Calibri" w:eastAsia="Times New Roman" w:hAnsi="Calibri" w:cs="Calibri"/>
          <w:sz w:val="22"/>
          <w:szCs w:val="22"/>
          <w:lang w:val="en-US"/>
        </w:rPr>
        <w:t xml:space="preserve">SCG failures in </w:t>
      </w:r>
      <w:r w:rsidRPr="00C96FC9">
        <w:rPr>
          <w:rFonts w:ascii="Calibri" w:eastAsia="Times New Roman" w:hAnsi="Calibri" w:cs="Calibri"/>
          <w:sz w:val="22"/>
          <w:szCs w:val="22"/>
          <w:lang w:val="en-US"/>
        </w:rPr>
        <w:t>NE-DC, (NG)EN-DC and EN-DC</w:t>
      </w:r>
      <w:r>
        <w:rPr>
          <w:rFonts w:ascii="Calibri" w:eastAsia="Times New Roman" w:hAnsi="Calibri" w:cs="Calibri"/>
          <w:sz w:val="22"/>
          <w:szCs w:val="22"/>
          <w:lang w:val="en-US"/>
        </w:rPr>
        <w:t>,</w:t>
      </w:r>
      <w:r w:rsidRPr="00C96FC9">
        <w:rPr>
          <w:rFonts w:ascii="Calibri" w:eastAsia="Times New Roman" w:hAnsi="Calibri" w:cs="Calibri"/>
          <w:sz w:val="22"/>
          <w:szCs w:val="22"/>
          <w:lang w:val="en-US"/>
        </w:rPr>
        <w:t xml:space="preserve"> </w:t>
      </w:r>
      <w:r w:rsidRPr="00C633DB">
        <w:rPr>
          <w:rFonts w:ascii="Calibri" w:eastAsia="Times New Roman" w:hAnsi="Calibri" w:cs="Calibri"/>
          <w:sz w:val="22"/>
          <w:szCs w:val="22"/>
          <w:lang w:val="en-US"/>
        </w:rPr>
        <w:t>MN needs to translate the SCG failure information encoded in the MN RAT format, re-organize the information with the SN RAT format and send it to SN either via an inter-node message or explicit signaling over Xn.</w:t>
      </w:r>
      <w:r>
        <w:rPr>
          <w:rFonts w:ascii="Calibri" w:eastAsia="Times New Roman" w:hAnsi="Calibri" w:cs="Calibri"/>
          <w:sz w:val="22"/>
          <w:szCs w:val="22"/>
          <w:lang w:val="en-US"/>
        </w:rPr>
        <w:t xml:space="preserve"> Send LS to RAN2 to convey the issue and ask its views.</w:t>
      </w:r>
    </w:p>
    <w:p w14:paraId="08069AED" w14:textId="18DC4012" w:rsidR="00D0534F" w:rsidRDefault="00D0534F" w:rsidP="00D0534F">
      <w:pPr>
        <w:spacing w:after="0"/>
        <w:rPr>
          <w:rFonts w:ascii="Calibri" w:eastAsia="Times New Roman" w:hAnsi="Calibri" w:cs="Calibri"/>
          <w:b/>
          <w:bCs/>
          <w:sz w:val="22"/>
          <w:szCs w:val="22"/>
          <w:lang w:val="en-US"/>
        </w:rPr>
      </w:pPr>
    </w:p>
    <w:p w14:paraId="1C72D109" w14:textId="263E9926" w:rsidR="0031435E" w:rsidRPr="0031435E" w:rsidRDefault="0031435E" w:rsidP="0031435E">
      <w:pPr>
        <w:spacing w:after="0"/>
        <w:rPr>
          <w:rFonts w:ascii="Calibri" w:eastAsia="Times New Roman" w:hAnsi="Calibri" w:cs="Calibri"/>
          <w:b/>
          <w:bCs/>
          <w:sz w:val="22"/>
          <w:szCs w:val="22"/>
          <w:u w:val="single"/>
          <w:lang w:val="en-US"/>
        </w:rPr>
      </w:pPr>
      <w:r w:rsidRPr="0031435E">
        <w:rPr>
          <w:rFonts w:ascii="Calibri" w:eastAsia="Times New Roman" w:hAnsi="Calibri" w:cs="Calibri"/>
          <w:b/>
          <w:bCs/>
          <w:sz w:val="22"/>
          <w:szCs w:val="22"/>
          <w:u w:val="single"/>
          <w:lang w:val="en-US"/>
        </w:rPr>
        <w:t xml:space="preserve">MRO for </w:t>
      </w:r>
      <w:r>
        <w:rPr>
          <w:rFonts w:ascii="Calibri" w:eastAsia="Times New Roman" w:hAnsi="Calibri" w:cs="Calibri"/>
          <w:b/>
          <w:bCs/>
          <w:sz w:val="22"/>
          <w:szCs w:val="22"/>
          <w:u w:val="single"/>
          <w:lang w:val="en-US"/>
        </w:rPr>
        <w:t>Fast MCG Recovery</w:t>
      </w:r>
    </w:p>
    <w:p w14:paraId="5492BD3E" w14:textId="77777777" w:rsidR="0031435E" w:rsidRDefault="0031435E" w:rsidP="00D0534F">
      <w:pPr>
        <w:spacing w:after="0"/>
        <w:rPr>
          <w:rFonts w:ascii="Calibri" w:eastAsia="Times New Roman" w:hAnsi="Calibri" w:cs="Calibri"/>
          <w:b/>
          <w:bCs/>
          <w:sz w:val="22"/>
          <w:szCs w:val="22"/>
          <w:lang w:val="en-US"/>
        </w:rPr>
      </w:pPr>
    </w:p>
    <w:p w14:paraId="5C2505AF" w14:textId="32628149" w:rsidR="00D0534F" w:rsidRPr="00E437BF" w:rsidRDefault="00D0534F" w:rsidP="00D0534F">
      <w:pPr>
        <w:spacing w:after="0"/>
        <w:rPr>
          <w:rFonts w:ascii="Calibri" w:eastAsia="Times New Roman" w:hAnsi="Calibri" w:cs="Calibri"/>
          <w:sz w:val="22"/>
          <w:szCs w:val="22"/>
          <w:lang w:val="en-US"/>
        </w:rPr>
      </w:pPr>
      <w:r w:rsidRPr="00E437BF">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9</w:t>
      </w:r>
      <w:r w:rsidRPr="00E437BF">
        <w:rPr>
          <w:rFonts w:ascii="Calibri" w:eastAsia="Times New Roman" w:hAnsi="Calibri" w:cs="Calibri"/>
          <w:sz w:val="22"/>
          <w:szCs w:val="22"/>
          <w:lang w:val="en-US"/>
        </w:rPr>
        <w:t>: There is no need to consider Sub-Case b1/Sub-Case b2/Case c</w:t>
      </w:r>
      <w:r>
        <w:rPr>
          <w:rFonts w:ascii="Calibri" w:eastAsia="Times New Roman" w:hAnsi="Calibri" w:cs="Calibri"/>
          <w:sz w:val="22"/>
          <w:szCs w:val="22"/>
          <w:lang w:val="en-US"/>
        </w:rPr>
        <w:t xml:space="preserve">/Case d/Case </w:t>
      </w:r>
      <w:r w:rsidRPr="00E437BF">
        <w:rPr>
          <w:rFonts w:ascii="Calibri" w:eastAsia="Times New Roman" w:hAnsi="Calibri" w:cs="Calibri"/>
          <w:sz w:val="22"/>
          <w:szCs w:val="22"/>
          <w:lang w:val="en-US"/>
        </w:rPr>
        <w:t>e</w:t>
      </w:r>
    </w:p>
    <w:p w14:paraId="34983642" w14:textId="77777777" w:rsidR="00D0534F" w:rsidRDefault="00D0534F" w:rsidP="00D0534F">
      <w:pPr>
        <w:spacing w:after="0"/>
        <w:rPr>
          <w:rFonts w:ascii="Calibri" w:eastAsia="Times New Roman" w:hAnsi="Calibri" w:cs="Calibri"/>
          <w:b/>
          <w:bCs/>
          <w:sz w:val="22"/>
          <w:szCs w:val="22"/>
          <w:lang w:val="en-US"/>
        </w:rPr>
      </w:pPr>
    </w:p>
    <w:p w14:paraId="1357FFF4" w14:textId="00721B91" w:rsidR="00D0534F" w:rsidRPr="00E437BF" w:rsidRDefault="00D0534F" w:rsidP="00D0534F">
      <w:pPr>
        <w:spacing w:after="0"/>
        <w:rPr>
          <w:rFonts w:ascii="Calibri" w:eastAsia="Times New Roman" w:hAnsi="Calibri" w:cs="Calibri"/>
          <w:sz w:val="22"/>
          <w:szCs w:val="22"/>
          <w:lang w:val="en-US"/>
        </w:rPr>
      </w:pPr>
      <w:r w:rsidRPr="00E437BF">
        <w:rPr>
          <w:rFonts w:ascii="Calibri" w:eastAsia="Times New Roman" w:hAnsi="Calibri" w:cs="Calibri"/>
          <w:b/>
          <w:bCs/>
          <w:sz w:val="22"/>
          <w:szCs w:val="22"/>
          <w:lang w:val="en-US"/>
        </w:rPr>
        <w:t>Proposal 1</w:t>
      </w:r>
      <w:r>
        <w:rPr>
          <w:rFonts w:ascii="Calibri" w:eastAsia="Times New Roman" w:hAnsi="Calibri" w:cs="Calibri"/>
          <w:b/>
          <w:bCs/>
          <w:sz w:val="22"/>
          <w:szCs w:val="22"/>
          <w:lang w:val="en-US"/>
        </w:rPr>
        <w:t>0</w:t>
      </w:r>
      <w:r w:rsidRPr="00E437BF">
        <w:rPr>
          <w:rFonts w:ascii="Calibri" w:eastAsia="Times New Roman" w:hAnsi="Calibri" w:cs="Calibri"/>
          <w:sz w:val="22"/>
          <w:szCs w:val="22"/>
          <w:lang w:val="en-US"/>
        </w:rPr>
        <w:t>: Consider Case f for any MRO enhancements</w:t>
      </w:r>
    </w:p>
    <w:p w14:paraId="3202E8B1" w14:textId="77777777" w:rsidR="00D0534F" w:rsidRPr="00E437BF" w:rsidRDefault="00D0534F" w:rsidP="00D0534F">
      <w:pPr>
        <w:numPr>
          <w:ilvl w:val="0"/>
          <w:numId w:val="20"/>
        </w:numPr>
        <w:spacing w:after="0"/>
        <w:textAlignment w:val="center"/>
        <w:rPr>
          <w:rFonts w:ascii="Calibri" w:eastAsia="Times New Roman" w:hAnsi="Calibri" w:cs="Calibri"/>
          <w:sz w:val="22"/>
          <w:szCs w:val="22"/>
          <w:lang w:val="en-US"/>
        </w:rPr>
      </w:pPr>
      <w:r w:rsidRPr="007B54FE">
        <w:rPr>
          <w:rFonts w:ascii="Calibri" w:eastAsia="Times New Roman" w:hAnsi="Calibri" w:cs="Calibri"/>
          <w:b/>
          <w:bCs/>
          <w:sz w:val="22"/>
          <w:szCs w:val="22"/>
          <w:lang w:val="en-US"/>
        </w:rPr>
        <w:t>Case f:</w:t>
      </w:r>
      <w:r w:rsidRPr="00E437BF">
        <w:rPr>
          <w:rFonts w:ascii="Calibri" w:eastAsia="Times New Roman" w:hAnsi="Calibri" w:cs="Calibri"/>
          <w:sz w:val="22"/>
          <w:szCs w:val="22"/>
          <w:lang w:val="en-US"/>
        </w:rPr>
        <w:t xml:space="preserve">  dual failure case, i.e., MCG failure occur while at about the same time SCG is deactivated/suspended/de-configured.</w:t>
      </w:r>
    </w:p>
    <w:p w14:paraId="25120AFE" w14:textId="18BCF631" w:rsidR="00654A5E" w:rsidRPr="00654A5E" w:rsidRDefault="00654A5E" w:rsidP="00D0534F">
      <w:pPr>
        <w:spacing w:after="0"/>
        <w:textAlignment w:val="center"/>
        <w:rPr>
          <w:rFonts w:ascii="Calibri" w:eastAsia="Times New Roman" w:hAnsi="Calibri" w:cs="Calibri"/>
          <w:sz w:val="22"/>
          <w:szCs w:val="22"/>
          <w:lang w:val="en-US"/>
        </w:rPr>
      </w:pPr>
      <w:r w:rsidRPr="00654A5E">
        <w:rPr>
          <w:rFonts w:ascii="Calibri" w:eastAsia="Times New Roman" w:hAnsi="Calibri" w:cs="Calibri"/>
          <w:sz w:val="22"/>
          <w:szCs w:val="22"/>
          <w:lang w:val="en-US"/>
        </w:rPr>
        <w:t xml:space="preserve"> </w:t>
      </w:r>
    </w:p>
    <w:p w14:paraId="5DD5AAEB" w14:textId="20EB60CF" w:rsidR="00C243D9" w:rsidRPr="00654A5E" w:rsidRDefault="00C243D9" w:rsidP="00654A5E">
      <w:pPr>
        <w:spacing w:after="0"/>
        <w:rPr>
          <w:rFonts w:asciiTheme="minorHAnsi" w:hAnsiTheme="minorHAnsi" w:cstheme="minorHAnsi"/>
          <w:iCs/>
          <w:sz w:val="22"/>
          <w:szCs w:val="22"/>
        </w:rPr>
      </w:pPr>
    </w:p>
    <w:p w14:paraId="37C69B42" w14:textId="77777777" w:rsidR="00185DC9" w:rsidRPr="003E17E3" w:rsidRDefault="00185DC9" w:rsidP="00185DC9">
      <w:pPr>
        <w:pStyle w:val="Heading1"/>
        <w:pBdr>
          <w:top w:val="single" w:sz="12" w:space="2" w:color="auto"/>
        </w:pBdr>
        <w:ind w:left="0" w:firstLine="0"/>
        <w:rPr>
          <w:rFonts w:asciiTheme="minorHAnsi" w:hAnsiTheme="minorHAnsi" w:cstheme="minorHAnsi"/>
          <w:sz w:val="32"/>
          <w:szCs w:val="32"/>
        </w:rPr>
      </w:pPr>
      <w:r w:rsidRPr="003E17E3">
        <w:rPr>
          <w:rFonts w:asciiTheme="minorHAnsi" w:hAnsiTheme="minorHAnsi" w:cstheme="minorHAnsi"/>
          <w:sz w:val="32"/>
          <w:szCs w:val="32"/>
        </w:rPr>
        <w:t>4. References</w:t>
      </w:r>
    </w:p>
    <w:p w14:paraId="39622E30" w14:textId="0692BF08" w:rsidR="007D6E65" w:rsidRPr="00596B14" w:rsidRDefault="007D6E65" w:rsidP="00185DC9">
      <w:pPr>
        <w:rPr>
          <w:rFonts w:asciiTheme="minorHAnsi" w:hAnsiTheme="minorHAnsi" w:cstheme="minorHAnsi"/>
          <w:sz w:val="22"/>
          <w:szCs w:val="22"/>
        </w:rPr>
      </w:pPr>
    </w:p>
    <w:sectPr w:rsidR="007D6E65" w:rsidRPr="00596B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8521F" w14:textId="77777777" w:rsidR="00022710" w:rsidRDefault="00022710" w:rsidP="006F5F92">
      <w:pPr>
        <w:spacing w:after="0"/>
      </w:pPr>
      <w:r>
        <w:separator/>
      </w:r>
    </w:p>
  </w:endnote>
  <w:endnote w:type="continuationSeparator" w:id="0">
    <w:p w14:paraId="70283C1D" w14:textId="77777777" w:rsidR="00022710" w:rsidRDefault="00022710" w:rsidP="006F5F92">
      <w:pPr>
        <w:spacing w:after="0"/>
      </w:pPr>
      <w:r>
        <w:continuationSeparator/>
      </w:r>
    </w:p>
  </w:endnote>
  <w:endnote w:type="continuationNotice" w:id="1">
    <w:p w14:paraId="0B57F930" w14:textId="77777777" w:rsidR="00022710" w:rsidRDefault="00022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944A7" w14:textId="77777777" w:rsidR="00022710" w:rsidRDefault="00022710" w:rsidP="006F5F92">
      <w:pPr>
        <w:spacing w:after="0"/>
      </w:pPr>
      <w:r>
        <w:separator/>
      </w:r>
    </w:p>
  </w:footnote>
  <w:footnote w:type="continuationSeparator" w:id="0">
    <w:p w14:paraId="0397F90D" w14:textId="77777777" w:rsidR="00022710" w:rsidRDefault="00022710" w:rsidP="006F5F92">
      <w:pPr>
        <w:spacing w:after="0"/>
      </w:pPr>
      <w:r>
        <w:continuationSeparator/>
      </w:r>
    </w:p>
  </w:footnote>
  <w:footnote w:type="continuationNotice" w:id="1">
    <w:p w14:paraId="66CAF55D" w14:textId="77777777" w:rsidR="00022710" w:rsidRDefault="000227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377"/>
    <w:multiLevelType w:val="hybridMultilevel"/>
    <w:tmpl w:val="95D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84609"/>
    <w:multiLevelType w:val="hybridMultilevel"/>
    <w:tmpl w:val="0E16B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C1062"/>
    <w:multiLevelType w:val="multilevel"/>
    <w:tmpl w:val="5CEAE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6C5D96"/>
    <w:multiLevelType w:val="multilevel"/>
    <w:tmpl w:val="068C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FA22FF"/>
    <w:multiLevelType w:val="multilevel"/>
    <w:tmpl w:val="71D8C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AF7E84"/>
    <w:multiLevelType w:val="multilevel"/>
    <w:tmpl w:val="C806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6E0A90"/>
    <w:multiLevelType w:val="hybridMultilevel"/>
    <w:tmpl w:val="F280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53A67C3"/>
    <w:multiLevelType w:val="hybridMultilevel"/>
    <w:tmpl w:val="05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3E573F"/>
    <w:multiLevelType w:val="multilevel"/>
    <w:tmpl w:val="C89ED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4D5362"/>
    <w:multiLevelType w:val="hybridMultilevel"/>
    <w:tmpl w:val="16201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1658E"/>
    <w:multiLevelType w:val="hybridMultilevel"/>
    <w:tmpl w:val="AFD05244"/>
    <w:lvl w:ilvl="0" w:tplc="805CCFF0">
      <w:start w:val="1"/>
      <w:numFmt w:val="bullet"/>
      <w:lvlText w:val="•"/>
      <w:lvlJc w:val="left"/>
      <w:pPr>
        <w:tabs>
          <w:tab w:val="num" w:pos="720"/>
        </w:tabs>
        <w:ind w:left="720" w:hanging="360"/>
      </w:pPr>
      <w:rPr>
        <w:rFonts w:ascii="Times New Roman" w:hAnsi="Times New Roman" w:hint="default"/>
      </w:rPr>
    </w:lvl>
    <w:lvl w:ilvl="1" w:tplc="D2DCEA60">
      <w:numFmt w:val="bullet"/>
      <w:lvlText w:val="–"/>
      <w:lvlJc w:val="left"/>
      <w:pPr>
        <w:tabs>
          <w:tab w:val="num" w:pos="1440"/>
        </w:tabs>
        <w:ind w:left="1440" w:hanging="360"/>
      </w:pPr>
      <w:rPr>
        <w:rFonts w:ascii="Times New Roman" w:hAnsi="Times New Roman" w:hint="default"/>
      </w:rPr>
    </w:lvl>
    <w:lvl w:ilvl="2" w:tplc="135AB772" w:tentative="1">
      <w:start w:val="1"/>
      <w:numFmt w:val="bullet"/>
      <w:lvlText w:val="•"/>
      <w:lvlJc w:val="left"/>
      <w:pPr>
        <w:tabs>
          <w:tab w:val="num" w:pos="2160"/>
        </w:tabs>
        <w:ind w:left="2160" w:hanging="360"/>
      </w:pPr>
      <w:rPr>
        <w:rFonts w:ascii="Times New Roman" w:hAnsi="Times New Roman" w:hint="default"/>
      </w:rPr>
    </w:lvl>
    <w:lvl w:ilvl="3" w:tplc="04AEE870" w:tentative="1">
      <w:start w:val="1"/>
      <w:numFmt w:val="bullet"/>
      <w:lvlText w:val="•"/>
      <w:lvlJc w:val="left"/>
      <w:pPr>
        <w:tabs>
          <w:tab w:val="num" w:pos="2880"/>
        </w:tabs>
        <w:ind w:left="2880" w:hanging="360"/>
      </w:pPr>
      <w:rPr>
        <w:rFonts w:ascii="Times New Roman" w:hAnsi="Times New Roman" w:hint="default"/>
      </w:rPr>
    </w:lvl>
    <w:lvl w:ilvl="4" w:tplc="9544B616" w:tentative="1">
      <w:start w:val="1"/>
      <w:numFmt w:val="bullet"/>
      <w:lvlText w:val="•"/>
      <w:lvlJc w:val="left"/>
      <w:pPr>
        <w:tabs>
          <w:tab w:val="num" w:pos="3600"/>
        </w:tabs>
        <w:ind w:left="3600" w:hanging="360"/>
      </w:pPr>
      <w:rPr>
        <w:rFonts w:ascii="Times New Roman" w:hAnsi="Times New Roman" w:hint="default"/>
      </w:rPr>
    </w:lvl>
    <w:lvl w:ilvl="5" w:tplc="E632C7B6" w:tentative="1">
      <w:start w:val="1"/>
      <w:numFmt w:val="bullet"/>
      <w:lvlText w:val="•"/>
      <w:lvlJc w:val="left"/>
      <w:pPr>
        <w:tabs>
          <w:tab w:val="num" w:pos="4320"/>
        </w:tabs>
        <w:ind w:left="4320" w:hanging="360"/>
      </w:pPr>
      <w:rPr>
        <w:rFonts w:ascii="Times New Roman" w:hAnsi="Times New Roman" w:hint="default"/>
      </w:rPr>
    </w:lvl>
    <w:lvl w:ilvl="6" w:tplc="31143C58" w:tentative="1">
      <w:start w:val="1"/>
      <w:numFmt w:val="bullet"/>
      <w:lvlText w:val="•"/>
      <w:lvlJc w:val="left"/>
      <w:pPr>
        <w:tabs>
          <w:tab w:val="num" w:pos="5040"/>
        </w:tabs>
        <w:ind w:left="5040" w:hanging="360"/>
      </w:pPr>
      <w:rPr>
        <w:rFonts w:ascii="Times New Roman" w:hAnsi="Times New Roman" w:hint="default"/>
      </w:rPr>
    </w:lvl>
    <w:lvl w:ilvl="7" w:tplc="7122A4F0" w:tentative="1">
      <w:start w:val="1"/>
      <w:numFmt w:val="bullet"/>
      <w:lvlText w:val="•"/>
      <w:lvlJc w:val="left"/>
      <w:pPr>
        <w:tabs>
          <w:tab w:val="num" w:pos="5760"/>
        </w:tabs>
        <w:ind w:left="5760" w:hanging="360"/>
      </w:pPr>
      <w:rPr>
        <w:rFonts w:ascii="Times New Roman" w:hAnsi="Times New Roman" w:hint="default"/>
      </w:rPr>
    </w:lvl>
    <w:lvl w:ilvl="8" w:tplc="1F4E6F5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3410C09"/>
    <w:multiLevelType w:val="multilevel"/>
    <w:tmpl w:val="C0CC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9A5D55"/>
    <w:multiLevelType w:val="hybridMultilevel"/>
    <w:tmpl w:val="8F3A14FC"/>
    <w:lvl w:ilvl="0" w:tplc="977CD5A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BF1F27"/>
    <w:multiLevelType w:val="hybridMultilevel"/>
    <w:tmpl w:val="164A7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96117"/>
    <w:multiLevelType w:val="hybridMultilevel"/>
    <w:tmpl w:val="D1B46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F51991"/>
    <w:multiLevelType w:val="multilevel"/>
    <w:tmpl w:val="30D6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1D5462"/>
    <w:multiLevelType w:val="hybridMultilevel"/>
    <w:tmpl w:val="E54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844AC"/>
    <w:multiLevelType w:val="hybridMultilevel"/>
    <w:tmpl w:val="83A0F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0424C"/>
    <w:multiLevelType w:val="multilevel"/>
    <w:tmpl w:val="5016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DA472A"/>
    <w:multiLevelType w:val="multilevel"/>
    <w:tmpl w:val="D478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9711EF"/>
    <w:multiLevelType w:val="hybridMultilevel"/>
    <w:tmpl w:val="6952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57F62"/>
    <w:multiLevelType w:val="hybridMultilevel"/>
    <w:tmpl w:val="5EFA1A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4A2DED"/>
    <w:multiLevelType w:val="multilevel"/>
    <w:tmpl w:val="19FA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874408"/>
    <w:multiLevelType w:val="multilevel"/>
    <w:tmpl w:val="6DDC26FC"/>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
      <w:lvlJc w:val="left"/>
      <w:pPr>
        <w:tabs>
          <w:tab w:val="num" w:pos="1260"/>
        </w:tabs>
        <w:ind w:left="1260" w:hanging="360"/>
      </w:pPr>
      <w:rPr>
        <w:rFonts w:ascii="Symbol" w:hAnsi="Symbol" w:hint="default"/>
        <w:sz w:val="20"/>
      </w:rPr>
    </w:lvl>
    <w:lvl w:ilvl="2" w:tentative="1">
      <w:start w:val="1"/>
      <w:numFmt w:val="bullet"/>
      <w:lvlText w:val=""/>
      <w:lvlJc w:val="left"/>
      <w:pPr>
        <w:tabs>
          <w:tab w:val="num" w:pos="1980"/>
        </w:tabs>
        <w:ind w:left="1980" w:hanging="360"/>
      </w:pPr>
      <w:rPr>
        <w:rFonts w:ascii="Symbol" w:hAnsi="Symbol" w:hint="default"/>
        <w:sz w:val="20"/>
      </w:rPr>
    </w:lvl>
    <w:lvl w:ilvl="3" w:tentative="1">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26"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4"/>
  </w:num>
  <w:num w:numId="4">
    <w:abstractNumId w:val="4"/>
  </w:num>
  <w:num w:numId="5">
    <w:abstractNumId w:val="25"/>
  </w:num>
  <w:num w:numId="6">
    <w:abstractNumId w:val="13"/>
  </w:num>
  <w:num w:numId="7">
    <w:abstractNumId w:val="23"/>
  </w:num>
  <w:num w:numId="8">
    <w:abstractNumId w:val="8"/>
  </w:num>
  <w:num w:numId="9">
    <w:abstractNumId w:val="22"/>
  </w:num>
  <w:num w:numId="10">
    <w:abstractNumId w:val="0"/>
  </w:num>
  <w:num w:numId="11">
    <w:abstractNumId w:val="15"/>
  </w:num>
  <w:num w:numId="12">
    <w:abstractNumId w:val="26"/>
  </w:num>
  <w:num w:numId="13">
    <w:abstractNumId w:val="20"/>
  </w:num>
  <w:num w:numId="14">
    <w:abstractNumId w:val="3"/>
  </w:num>
  <w:num w:numId="15">
    <w:abstractNumId w:val="9"/>
  </w:num>
  <w:num w:numId="16">
    <w:abstractNumId w:val="16"/>
  </w:num>
  <w:num w:numId="17">
    <w:abstractNumId w:val="2"/>
  </w:num>
  <w:num w:numId="18">
    <w:abstractNumId w:val="12"/>
  </w:num>
  <w:num w:numId="19">
    <w:abstractNumId w:val="5"/>
  </w:num>
  <w:num w:numId="20">
    <w:abstractNumId w:val="21"/>
  </w:num>
  <w:num w:numId="21">
    <w:abstractNumId w:val="6"/>
  </w:num>
  <w:num w:numId="22">
    <w:abstractNumId w:val="10"/>
  </w:num>
  <w:num w:numId="23">
    <w:abstractNumId w:val="14"/>
  </w:num>
  <w:num w:numId="24">
    <w:abstractNumId w:val="11"/>
  </w:num>
  <w:num w:numId="25">
    <w:abstractNumId w:val="19"/>
  </w:num>
  <w:num w:numId="26">
    <w:abstractNumId w:val="1"/>
  </w:num>
  <w:num w:numId="2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983"/>
    <w:rsid w:val="00003FAB"/>
    <w:rsid w:val="00005EF1"/>
    <w:rsid w:val="00007754"/>
    <w:rsid w:val="00013035"/>
    <w:rsid w:val="00015421"/>
    <w:rsid w:val="00016213"/>
    <w:rsid w:val="00016648"/>
    <w:rsid w:val="00016923"/>
    <w:rsid w:val="00016A85"/>
    <w:rsid w:val="0001736B"/>
    <w:rsid w:val="00017988"/>
    <w:rsid w:val="000218C1"/>
    <w:rsid w:val="00022710"/>
    <w:rsid w:val="0002287F"/>
    <w:rsid w:val="0002370E"/>
    <w:rsid w:val="00026785"/>
    <w:rsid w:val="00026B82"/>
    <w:rsid w:val="000272BF"/>
    <w:rsid w:val="000302BA"/>
    <w:rsid w:val="0003355E"/>
    <w:rsid w:val="00034905"/>
    <w:rsid w:val="0003513D"/>
    <w:rsid w:val="0003594C"/>
    <w:rsid w:val="00035E0A"/>
    <w:rsid w:val="000368B1"/>
    <w:rsid w:val="00036928"/>
    <w:rsid w:val="000404E6"/>
    <w:rsid w:val="00040F58"/>
    <w:rsid w:val="00041B0F"/>
    <w:rsid w:val="000426F6"/>
    <w:rsid w:val="00044304"/>
    <w:rsid w:val="0004688A"/>
    <w:rsid w:val="00047C16"/>
    <w:rsid w:val="00047D10"/>
    <w:rsid w:val="00047F91"/>
    <w:rsid w:val="00050D19"/>
    <w:rsid w:val="000514C3"/>
    <w:rsid w:val="00052325"/>
    <w:rsid w:val="0005263E"/>
    <w:rsid w:val="00054F3B"/>
    <w:rsid w:val="00056596"/>
    <w:rsid w:val="00056BC2"/>
    <w:rsid w:val="00056C6A"/>
    <w:rsid w:val="000574D0"/>
    <w:rsid w:val="000576E8"/>
    <w:rsid w:val="000579B6"/>
    <w:rsid w:val="0006191A"/>
    <w:rsid w:val="00062827"/>
    <w:rsid w:val="000648F4"/>
    <w:rsid w:val="00064A32"/>
    <w:rsid w:val="00067CE2"/>
    <w:rsid w:val="0007024D"/>
    <w:rsid w:val="0007147F"/>
    <w:rsid w:val="00072D1E"/>
    <w:rsid w:val="00072E7C"/>
    <w:rsid w:val="00074992"/>
    <w:rsid w:val="00077C57"/>
    <w:rsid w:val="000817E7"/>
    <w:rsid w:val="00082CE2"/>
    <w:rsid w:val="00085880"/>
    <w:rsid w:val="00090788"/>
    <w:rsid w:val="00091401"/>
    <w:rsid w:val="0009270B"/>
    <w:rsid w:val="00093D3C"/>
    <w:rsid w:val="00095A14"/>
    <w:rsid w:val="000962E4"/>
    <w:rsid w:val="0009658D"/>
    <w:rsid w:val="00096A23"/>
    <w:rsid w:val="00096B82"/>
    <w:rsid w:val="000971D5"/>
    <w:rsid w:val="00097203"/>
    <w:rsid w:val="000A0616"/>
    <w:rsid w:val="000A0BC5"/>
    <w:rsid w:val="000A36F5"/>
    <w:rsid w:val="000A448D"/>
    <w:rsid w:val="000A4892"/>
    <w:rsid w:val="000A48CD"/>
    <w:rsid w:val="000A6FE8"/>
    <w:rsid w:val="000A7D3D"/>
    <w:rsid w:val="000B0070"/>
    <w:rsid w:val="000B0EE4"/>
    <w:rsid w:val="000B182D"/>
    <w:rsid w:val="000B19D7"/>
    <w:rsid w:val="000B31A9"/>
    <w:rsid w:val="000B65EC"/>
    <w:rsid w:val="000B6ABC"/>
    <w:rsid w:val="000B7B5E"/>
    <w:rsid w:val="000C090F"/>
    <w:rsid w:val="000C16DB"/>
    <w:rsid w:val="000C2243"/>
    <w:rsid w:val="000C5145"/>
    <w:rsid w:val="000C63AC"/>
    <w:rsid w:val="000C6678"/>
    <w:rsid w:val="000C677A"/>
    <w:rsid w:val="000C691F"/>
    <w:rsid w:val="000D125A"/>
    <w:rsid w:val="000D152B"/>
    <w:rsid w:val="000D212C"/>
    <w:rsid w:val="000D2327"/>
    <w:rsid w:val="000D2ED5"/>
    <w:rsid w:val="000D2FE2"/>
    <w:rsid w:val="000D36A0"/>
    <w:rsid w:val="000D448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48AD"/>
    <w:rsid w:val="000E56C4"/>
    <w:rsid w:val="000E57E3"/>
    <w:rsid w:val="000E59F2"/>
    <w:rsid w:val="000E611C"/>
    <w:rsid w:val="000E72AF"/>
    <w:rsid w:val="000E7556"/>
    <w:rsid w:val="000F5110"/>
    <w:rsid w:val="000F53D7"/>
    <w:rsid w:val="000F6012"/>
    <w:rsid w:val="001007D9"/>
    <w:rsid w:val="00100DA0"/>
    <w:rsid w:val="00101C18"/>
    <w:rsid w:val="00101E17"/>
    <w:rsid w:val="00102421"/>
    <w:rsid w:val="00102A61"/>
    <w:rsid w:val="00103EDF"/>
    <w:rsid w:val="0010605B"/>
    <w:rsid w:val="00107098"/>
    <w:rsid w:val="001077AD"/>
    <w:rsid w:val="00107CF4"/>
    <w:rsid w:val="0011126F"/>
    <w:rsid w:val="00111F23"/>
    <w:rsid w:val="00112011"/>
    <w:rsid w:val="0011371D"/>
    <w:rsid w:val="001141F2"/>
    <w:rsid w:val="001143CA"/>
    <w:rsid w:val="001167BA"/>
    <w:rsid w:val="00117133"/>
    <w:rsid w:val="001226A1"/>
    <w:rsid w:val="00122822"/>
    <w:rsid w:val="0012442C"/>
    <w:rsid w:val="001254E9"/>
    <w:rsid w:val="001303DE"/>
    <w:rsid w:val="0013133F"/>
    <w:rsid w:val="00131D34"/>
    <w:rsid w:val="00132490"/>
    <w:rsid w:val="0013354F"/>
    <w:rsid w:val="001343D7"/>
    <w:rsid w:val="00141072"/>
    <w:rsid w:val="001416AE"/>
    <w:rsid w:val="001424DD"/>
    <w:rsid w:val="00145A92"/>
    <w:rsid w:val="001471EE"/>
    <w:rsid w:val="00147903"/>
    <w:rsid w:val="00147E16"/>
    <w:rsid w:val="001508B5"/>
    <w:rsid w:val="0015162F"/>
    <w:rsid w:val="00152363"/>
    <w:rsid w:val="001526C3"/>
    <w:rsid w:val="00153692"/>
    <w:rsid w:val="00153869"/>
    <w:rsid w:val="00154A12"/>
    <w:rsid w:val="0015586A"/>
    <w:rsid w:val="00155F97"/>
    <w:rsid w:val="00156A7C"/>
    <w:rsid w:val="00156CDF"/>
    <w:rsid w:val="00160686"/>
    <w:rsid w:val="00161867"/>
    <w:rsid w:val="00161D19"/>
    <w:rsid w:val="00161E16"/>
    <w:rsid w:val="00162027"/>
    <w:rsid w:val="0016316A"/>
    <w:rsid w:val="00163EB2"/>
    <w:rsid w:val="001640BE"/>
    <w:rsid w:val="00165409"/>
    <w:rsid w:val="001676E7"/>
    <w:rsid w:val="001677DF"/>
    <w:rsid w:val="00170D43"/>
    <w:rsid w:val="00171CA2"/>
    <w:rsid w:val="00172310"/>
    <w:rsid w:val="00173416"/>
    <w:rsid w:val="0017403E"/>
    <w:rsid w:val="0017483C"/>
    <w:rsid w:val="00174DCD"/>
    <w:rsid w:val="0017533D"/>
    <w:rsid w:val="00175C25"/>
    <w:rsid w:val="0017635F"/>
    <w:rsid w:val="00180147"/>
    <w:rsid w:val="00180B0D"/>
    <w:rsid w:val="00180F65"/>
    <w:rsid w:val="00181D15"/>
    <w:rsid w:val="001826C2"/>
    <w:rsid w:val="00183F24"/>
    <w:rsid w:val="00184067"/>
    <w:rsid w:val="001845CC"/>
    <w:rsid w:val="00185DC9"/>
    <w:rsid w:val="0018766D"/>
    <w:rsid w:val="00187CD5"/>
    <w:rsid w:val="0019223B"/>
    <w:rsid w:val="00192885"/>
    <w:rsid w:val="001928E8"/>
    <w:rsid w:val="001935AF"/>
    <w:rsid w:val="0019451A"/>
    <w:rsid w:val="001976E5"/>
    <w:rsid w:val="001A0126"/>
    <w:rsid w:val="001A0BD4"/>
    <w:rsid w:val="001A6B88"/>
    <w:rsid w:val="001A7FAA"/>
    <w:rsid w:val="001B105A"/>
    <w:rsid w:val="001B4220"/>
    <w:rsid w:val="001B6608"/>
    <w:rsid w:val="001B795A"/>
    <w:rsid w:val="001C3A5F"/>
    <w:rsid w:val="001C4EB0"/>
    <w:rsid w:val="001C54DA"/>
    <w:rsid w:val="001C6CDD"/>
    <w:rsid w:val="001C75FF"/>
    <w:rsid w:val="001C78D6"/>
    <w:rsid w:val="001D19A8"/>
    <w:rsid w:val="001D2A48"/>
    <w:rsid w:val="001D3852"/>
    <w:rsid w:val="001D3C3F"/>
    <w:rsid w:val="001D424C"/>
    <w:rsid w:val="001D4284"/>
    <w:rsid w:val="001D5280"/>
    <w:rsid w:val="001D5888"/>
    <w:rsid w:val="001D5CD8"/>
    <w:rsid w:val="001D745A"/>
    <w:rsid w:val="001E00E9"/>
    <w:rsid w:val="001E35D1"/>
    <w:rsid w:val="001E43DE"/>
    <w:rsid w:val="001E4CF0"/>
    <w:rsid w:val="001E5FF2"/>
    <w:rsid w:val="001E715B"/>
    <w:rsid w:val="001F1928"/>
    <w:rsid w:val="001F46BF"/>
    <w:rsid w:val="001F4ADF"/>
    <w:rsid w:val="001F66E5"/>
    <w:rsid w:val="001F7D34"/>
    <w:rsid w:val="002018A7"/>
    <w:rsid w:val="00203618"/>
    <w:rsid w:val="0020377A"/>
    <w:rsid w:val="00204DFB"/>
    <w:rsid w:val="0020653D"/>
    <w:rsid w:val="00206C70"/>
    <w:rsid w:val="002104DA"/>
    <w:rsid w:val="00210BA4"/>
    <w:rsid w:val="00211BBC"/>
    <w:rsid w:val="00212BB3"/>
    <w:rsid w:val="00213317"/>
    <w:rsid w:val="002134B7"/>
    <w:rsid w:val="002145E1"/>
    <w:rsid w:val="00216D54"/>
    <w:rsid w:val="00217ADF"/>
    <w:rsid w:val="00222C73"/>
    <w:rsid w:val="00223F63"/>
    <w:rsid w:val="0022431D"/>
    <w:rsid w:val="002270C9"/>
    <w:rsid w:val="00230735"/>
    <w:rsid w:val="00231AD6"/>
    <w:rsid w:val="00231D28"/>
    <w:rsid w:val="00232361"/>
    <w:rsid w:val="0023239E"/>
    <w:rsid w:val="00232F8F"/>
    <w:rsid w:val="002336A3"/>
    <w:rsid w:val="00234BFC"/>
    <w:rsid w:val="002407C7"/>
    <w:rsid w:val="00241065"/>
    <w:rsid w:val="00241403"/>
    <w:rsid w:val="00242318"/>
    <w:rsid w:val="00242E4E"/>
    <w:rsid w:val="002434F1"/>
    <w:rsid w:val="002440C4"/>
    <w:rsid w:val="002450B2"/>
    <w:rsid w:val="00245744"/>
    <w:rsid w:val="0025000A"/>
    <w:rsid w:val="002505C2"/>
    <w:rsid w:val="002521C7"/>
    <w:rsid w:val="00252743"/>
    <w:rsid w:val="00253749"/>
    <w:rsid w:val="00253A41"/>
    <w:rsid w:val="0025499A"/>
    <w:rsid w:val="002551DB"/>
    <w:rsid w:val="0025623B"/>
    <w:rsid w:val="002569D4"/>
    <w:rsid w:val="00257BE9"/>
    <w:rsid w:val="00260208"/>
    <w:rsid w:val="00261E7B"/>
    <w:rsid w:val="00262D46"/>
    <w:rsid w:val="002633FB"/>
    <w:rsid w:val="00265385"/>
    <w:rsid w:val="002661AB"/>
    <w:rsid w:val="00266368"/>
    <w:rsid w:val="00267A50"/>
    <w:rsid w:val="00267E83"/>
    <w:rsid w:val="00271F96"/>
    <w:rsid w:val="002747DF"/>
    <w:rsid w:val="002751B1"/>
    <w:rsid w:val="00275701"/>
    <w:rsid w:val="002772F9"/>
    <w:rsid w:val="00277D70"/>
    <w:rsid w:val="00280C47"/>
    <w:rsid w:val="00280E98"/>
    <w:rsid w:val="002821BC"/>
    <w:rsid w:val="00282B9B"/>
    <w:rsid w:val="002831C4"/>
    <w:rsid w:val="0028329E"/>
    <w:rsid w:val="00283463"/>
    <w:rsid w:val="00283531"/>
    <w:rsid w:val="002843EE"/>
    <w:rsid w:val="0028447E"/>
    <w:rsid w:val="0028470D"/>
    <w:rsid w:val="00284FC6"/>
    <w:rsid w:val="00294640"/>
    <w:rsid w:val="002A0123"/>
    <w:rsid w:val="002A2D4B"/>
    <w:rsid w:val="002A3291"/>
    <w:rsid w:val="002A4383"/>
    <w:rsid w:val="002A4B43"/>
    <w:rsid w:val="002A5A6F"/>
    <w:rsid w:val="002A5F0F"/>
    <w:rsid w:val="002B0A40"/>
    <w:rsid w:val="002B2240"/>
    <w:rsid w:val="002B4718"/>
    <w:rsid w:val="002B54AD"/>
    <w:rsid w:val="002B5578"/>
    <w:rsid w:val="002B673C"/>
    <w:rsid w:val="002B6E9A"/>
    <w:rsid w:val="002B6EE9"/>
    <w:rsid w:val="002C0E63"/>
    <w:rsid w:val="002C22D3"/>
    <w:rsid w:val="002C3EF2"/>
    <w:rsid w:val="002C43BE"/>
    <w:rsid w:val="002C43E9"/>
    <w:rsid w:val="002C5B17"/>
    <w:rsid w:val="002C756B"/>
    <w:rsid w:val="002C7B32"/>
    <w:rsid w:val="002C7DB3"/>
    <w:rsid w:val="002D29DA"/>
    <w:rsid w:val="002D4FE3"/>
    <w:rsid w:val="002D5154"/>
    <w:rsid w:val="002D6718"/>
    <w:rsid w:val="002D6BF9"/>
    <w:rsid w:val="002D6DD7"/>
    <w:rsid w:val="002E079E"/>
    <w:rsid w:val="002E1ABB"/>
    <w:rsid w:val="002E252A"/>
    <w:rsid w:val="002E2AD6"/>
    <w:rsid w:val="002E378E"/>
    <w:rsid w:val="002E5AB9"/>
    <w:rsid w:val="002E5D60"/>
    <w:rsid w:val="002E6707"/>
    <w:rsid w:val="002F08BD"/>
    <w:rsid w:val="002F0E20"/>
    <w:rsid w:val="002F3C84"/>
    <w:rsid w:val="002F552A"/>
    <w:rsid w:val="002F5FA7"/>
    <w:rsid w:val="002F61E6"/>
    <w:rsid w:val="003001DF"/>
    <w:rsid w:val="00300A13"/>
    <w:rsid w:val="00303577"/>
    <w:rsid w:val="00306829"/>
    <w:rsid w:val="0030737E"/>
    <w:rsid w:val="00312511"/>
    <w:rsid w:val="003128E4"/>
    <w:rsid w:val="0031356E"/>
    <w:rsid w:val="0031435E"/>
    <w:rsid w:val="00315786"/>
    <w:rsid w:val="00315D42"/>
    <w:rsid w:val="003164D7"/>
    <w:rsid w:val="003167F4"/>
    <w:rsid w:val="00316B43"/>
    <w:rsid w:val="003201F3"/>
    <w:rsid w:val="003206A9"/>
    <w:rsid w:val="00321302"/>
    <w:rsid w:val="003225BF"/>
    <w:rsid w:val="0032635E"/>
    <w:rsid w:val="003266CE"/>
    <w:rsid w:val="003267CB"/>
    <w:rsid w:val="00326BDA"/>
    <w:rsid w:val="00332392"/>
    <w:rsid w:val="00332BD3"/>
    <w:rsid w:val="003330D4"/>
    <w:rsid w:val="003341C8"/>
    <w:rsid w:val="003359A7"/>
    <w:rsid w:val="0034324E"/>
    <w:rsid w:val="0034415B"/>
    <w:rsid w:val="00344304"/>
    <w:rsid w:val="003465ED"/>
    <w:rsid w:val="003479C3"/>
    <w:rsid w:val="00350D3A"/>
    <w:rsid w:val="00351859"/>
    <w:rsid w:val="00351B5B"/>
    <w:rsid w:val="00351CFC"/>
    <w:rsid w:val="00352961"/>
    <w:rsid w:val="00352C3E"/>
    <w:rsid w:val="003534EF"/>
    <w:rsid w:val="0035496B"/>
    <w:rsid w:val="003564BC"/>
    <w:rsid w:val="00357544"/>
    <w:rsid w:val="003606A7"/>
    <w:rsid w:val="00361A69"/>
    <w:rsid w:val="003620B3"/>
    <w:rsid w:val="003622F6"/>
    <w:rsid w:val="00364AA4"/>
    <w:rsid w:val="00364CC1"/>
    <w:rsid w:val="003658AF"/>
    <w:rsid w:val="0036790A"/>
    <w:rsid w:val="0037183A"/>
    <w:rsid w:val="00371ECD"/>
    <w:rsid w:val="00375C4A"/>
    <w:rsid w:val="00376955"/>
    <w:rsid w:val="003777BB"/>
    <w:rsid w:val="00380FB2"/>
    <w:rsid w:val="00381A5B"/>
    <w:rsid w:val="00382B25"/>
    <w:rsid w:val="003833D4"/>
    <w:rsid w:val="0038347C"/>
    <w:rsid w:val="00383948"/>
    <w:rsid w:val="003839F7"/>
    <w:rsid w:val="003844FC"/>
    <w:rsid w:val="00384A30"/>
    <w:rsid w:val="00384DDD"/>
    <w:rsid w:val="003856EC"/>
    <w:rsid w:val="003857C1"/>
    <w:rsid w:val="00390703"/>
    <w:rsid w:val="00390A7F"/>
    <w:rsid w:val="00391058"/>
    <w:rsid w:val="00391570"/>
    <w:rsid w:val="003918A3"/>
    <w:rsid w:val="003925A3"/>
    <w:rsid w:val="00395165"/>
    <w:rsid w:val="003A02A4"/>
    <w:rsid w:val="003A046D"/>
    <w:rsid w:val="003A05C3"/>
    <w:rsid w:val="003A0C20"/>
    <w:rsid w:val="003A13B6"/>
    <w:rsid w:val="003A1D75"/>
    <w:rsid w:val="003A1D89"/>
    <w:rsid w:val="003A27FD"/>
    <w:rsid w:val="003A2CC4"/>
    <w:rsid w:val="003A4189"/>
    <w:rsid w:val="003A50F8"/>
    <w:rsid w:val="003A63B7"/>
    <w:rsid w:val="003A64DA"/>
    <w:rsid w:val="003A7902"/>
    <w:rsid w:val="003A7CDF"/>
    <w:rsid w:val="003B059B"/>
    <w:rsid w:val="003B0AEC"/>
    <w:rsid w:val="003B19ED"/>
    <w:rsid w:val="003B332F"/>
    <w:rsid w:val="003B616E"/>
    <w:rsid w:val="003B6401"/>
    <w:rsid w:val="003C09AE"/>
    <w:rsid w:val="003C0D1D"/>
    <w:rsid w:val="003C1B86"/>
    <w:rsid w:val="003C202B"/>
    <w:rsid w:val="003C2713"/>
    <w:rsid w:val="003C2A02"/>
    <w:rsid w:val="003C2FEE"/>
    <w:rsid w:val="003C4CDF"/>
    <w:rsid w:val="003C57C7"/>
    <w:rsid w:val="003C58E3"/>
    <w:rsid w:val="003C5CE2"/>
    <w:rsid w:val="003C5FA5"/>
    <w:rsid w:val="003C71AA"/>
    <w:rsid w:val="003D0B74"/>
    <w:rsid w:val="003D2358"/>
    <w:rsid w:val="003D2C7B"/>
    <w:rsid w:val="003D56B8"/>
    <w:rsid w:val="003D69B1"/>
    <w:rsid w:val="003E0B61"/>
    <w:rsid w:val="003E1511"/>
    <w:rsid w:val="003E17E3"/>
    <w:rsid w:val="003E2769"/>
    <w:rsid w:val="003E3201"/>
    <w:rsid w:val="003E3500"/>
    <w:rsid w:val="003E3AA7"/>
    <w:rsid w:val="003E5645"/>
    <w:rsid w:val="003E6FF1"/>
    <w:rsid w:val="003F0053"/>
    <w:rsid w:val="003F17F6"/>
    <w:rsid w:val="003F2FCA"/>
    <w:rsid w:val="003F3059"/>
    <w:rsid w:val="003F322C"/>
    <w:rsid w:val="003F5D40"/>
    <w:rsid w:val="003F7148"/>
    <w:rsid w:val="003F7D1B"/>
    <w:rsid w:val="00400BEA"/>
    <w:rsid w:val="0040120E"/>
    <w:rsid w:val="004029C8"/>
    <w:rsid w:val="0040493F"/>
    <w:rsid w:val="00404C07"/>
    <w:rsid w:val="00405345"/>
    <w:rsid w:val="004115D6"/>
    <w:rsid w:val="00413738"/>
    <w:rsid w:val="00414E56"/>
    <w:rsid w:val="00415061"/>
    <w:rsid w:val="0041561A"/>
    <w:rsid w:val="004163B5"/>
    <w:rsid w:val="00417ADA"/>
    <w:rsid w:val="00420C2D"/>
    <w:rsid w:val="0042277C"/>
    <w:rsid w:val="00422C08"/>
    <w:rsid w:val="00423920"/>
    <w:rsid w:val="00424B18"/>
    <w:rsid w:val="00424FA9"/>
    <w:rsid w:val="00425E71"/>
    <w:rsid w:val="004279FE"/>
    <w:rsid w:val="004308BD"/>
    <w:rsid w:val="004312D0"/>
    <w:rsid w:val="00432354"/>
    <w:rsid w:val="004327AB"/>
    <w:rsid w:val="00432FAC"/>
    <w:rsid w:val="00433497"/>
    <w:rsid w:val="00435E68"/>
    <w:rsid w:val="0043755E"/>
    <w:rsid w:val="004449F2"/>
    <w:rsid w:val="00446CE7"/>
    <w:rsid w:val="004503AB"/>
    <w:rsid w:val="00450FAE"/>
    <w:rsid w:val="00451C1B"/>
    <w:rsid w:val="00451F83"/>
    <w:rsid w:val="00452105"/>
    <w:rsid w:val="00452B5E"/>
    <w:rsid w:val="004558A2"/>
    <w:rsid w:val="004563E5"/>
    <w:rsid w:val="004574F3"/>
    <w:rsid w:val="0046203E"/>
    <w:rsid w:val="00462BD6"/>
    <w:rsid w:val="004645D1"/>
    <w:rsid w:val="00465457"/>
    <w:rsid w:val="0046588B"/>
    <w:rsid w:val="0046690C"/>
    <w:rsid w:val="00470260"/>
    <w:rsid w:val="004732FF"/>
    <w:rsid w:val="00473424"/>
    <w:rsid w:val="00473FA7"/>
    <w:rsid w:val="0047438E"/>
    <w:rsid w:val="00475C7E"/>
    <w:rsid w:val="00477F9F"/>
    <w:rsid w:val="00480C8A"/>
    <w:rsid w:val="004814FF"/>
    <w:rsid w:val="00481932"/>
    <w:rsid w:val="00483593"/>
    <w:rsid w:val="00483BA7"/>
    <w:rsid w:val="004840B1"/>
    <w:rsid w:val="004856D8"/>
    <w:rsid w:val="00485D69"/>
    <w:rsid w:val="00486DBA"/>
    <w:rsid w:val="004934A7"/>
    <w:rsid w:val="0049376F"/>
    <w:rsid w:val="004938E6"/>
    <w:rsid w:val="00493946"/>
    <w:rsid w:val="00494443"/>
    <w:rsid w:val="00496625"/>
    <w:rsid w:val="00497C48"/>
    <w:rsid w:val="004A050E"/>
    <w:rsid w:val="004A0B9E"/>
    <w:rsid w:val="004A4590"/>
    <w:rsid w:val="004A474C"/>
    <w:rsid w:val="004A64CE"/>
    <w:rsid w:val="004B153D"/>
    <w:rsid w:val="004B1AD2"/>
    <w:rsid w:val="004B2A9F"/>
    <w:rsid w:val="004B4158"/>
    <w:rsid w:val="004B4B19"/>
    <w:rsid w:val="004B7216"/>
    <w:rsid w:val="004C02EB"/>
    <w:rsid w:val="004C64BF"/>
    <w:rsid w:val="004D045F"/>
    <w:rsid w:val="004D0AC3"/>
    <w:rsid w:val="004D2D11"/>
    <w:rsid w:val="004D2DC5"/>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0EDC"/>
    <w:rsid w:val="00501797"/>
    <w:rsid w:val="00501856"/>
    <w:rsid w:val="005042BC"/>
    <w:rsid w:val="00506560"/>
    <w:rsid w:val="00506D4A"/>
    <w:rsid w:val="005103A8"/>
    <w:rsid w:val="005103BF"/>
    <w:rsid w:val="00510826"/>
    <w:rsid w:val="00512AB5"/>
    <w:rsid w:val="00514087"/>
    <w:rsid w:val="00514900"/>
    <w:rsid w:val="00514E61"/>
    <w:rsid w:val="0051650B"/>
    <w:rsid w:val="0051659B"/>
    <w:rsid w:val="00516A50"/>
    <w:rsid w:val="0051767B"/>
    <w:rsid w:val="00520274"/>
    <w:rsid w:val="00520E5B"/>
    <w:rsid w:val="00522EF6"/>
    <w:rsid w:val="0052320C"/>
    <w:rsid w:val="0052366D"/>
    <w:rsid w:val="005240A8"/>
    <w:rsid w:val="00527993"/>
    <w:rsid w:val="00530927"/>
    <w:rsid w:val="0053162F"/>
    <w:rsid w:val="00533BAC"/>
    <w:rsid w:val="00534B18"/>
    <w:rsid w:val="00534ED0"/>
    <w:rsid w:val="00537659"/>
    <w:rsid w:val="00537971"/>
    <w:rsid w:val="00540178"/>
    <w:rsid w:val="00540772"/>
    <w:rsid w:val="005413F6"/>
    <w:rsid w:val="00541B65"/>
    <w:rsid w:val="00543AC1"/>
    <w:rsid w:val="0054737C"/>
    <w:rsid w:val="00552BB7"/>
    <w:rsid w:val="005541E9"/>
    <w:rsid w:val="005541F9"/>
    <w:rsid w:val="00554B39"/>
    <w:rsid w:val="005552F5"/>
    <w:rsid w:val="00555822"/>
    <w:rsid w:val="00555E0D"/>
    <w:rsid w:val="00560AB8"/>
    <w:rsid w:val="00561066"/>
    <w:rsid w:val="00561A12"/>
    <w:rsid w:val="00561F60"/>
    <w:rsid w:val="00563CB0"/>
    <w:rsid w:val="00564640"/>
    <w:rsid w:val="00565BAA"/>
    <w:rsid w:val="00570898"/>
    <w:rsid w:val="005713FD"/>
    <w:rsid w:val="00571890"/>
    <w:rsid w:val="00572827"/>
    <w:rsid w:val="005753DF"/>
    <w:rsid w:val="00576132"/>
    <w:rsid w:val="00576AFE"/>
    <w:rsid w:val="00576BB1"/>
    <w:rsid w:val="00576C07"/>
    <w:rsid w:val="0057719E"/>
    <w:rsid w:val="00577803"/>
    <w:rsid w:val="00577C16"/>
    <w:rsid w:val="005809D8"/>
    <w:rsid w:val="00580BCA"/>
    <w:rsid w:val="00584295"/>
    <w:rsid w:val="005849B9"/>
    <w:rsid w:val="00585A07"/>
    <w:rsid w:val="00585CF8"/>
    <w:rsid w:val="00586D52"/>
    <w:rsid w:val="00591041"/>
    <w:rsid w:val="00594C3B"/>
    <w:rsid w:val="005957AD"/>
    <w:rsid w:val="005963BF"/>
    <w:rsid w:val="00596B14"/>
    <w:rsid w:val="00597087"/>
    <w:rsid w:val="005A023E"/>
    <w:rsid w:val="005A12A6"/>
    <w:rsid w:val="005A1397"/>
    <w:rsid w:val="005A19AB"/>
    <w:rsid w:val="005A2999"/>
    <w:rsid w:val="005A47DA"/>
    <w:rsid w:val="005B0751"/>
    <w:rsid w:val="005B1269"/>
    <w:rsid w:val="005B3C43"/>
    <w:rsid w:val="005B53AC"/>
    <w:rsid w:val="005B6899"/>
    <w:rsid w:val="005C0B71"/>
    <w:rsid w:val="005C2512"/>
    <w:rsid w:val="005C25CF"/>
    <w:rsid w:val="005C3CB3"/>
    <w:rsid w:val="005C40ED"/>
    <w:rsid w:val="005C6201"/>
    <w:rsid w:val="005C7188"/>
    <w:rsid w:val="005D2282"/>
    <w:rsid w:val="005D3F77"/>
    <w:rsid w:val="005D4047"/>
    <w:rsid w:val="005D6E63"/>
    <w:rsid w:val="005D7AB2"/>
    <w:rsid w:val="005E0E30"/>
    <w:rsid w:val="005E1FF2"/>
    <w:rsid w:val="005E2A79"/>
    <w:rsid w:val="005E3F3F"/>
    <w:rsid w:val="005E4355"/>
    <w:rsid w:val="005E5754"/>
    <w:rsid w:val="005E6DE2"/>
    <w:rsid w:val="005F04C8"/>
    <w:rsid w:val="005F089D"/>
    <w:rsid w:val="005F0CF4"/>
    <w:rsid w:val="005F0D62"/>
    <w:rsid w:val="005F2720"/>
    <w:rsid w:val="005F33C2"/>
    <w:rsid w:val="005F351B"/>
    <w:rsid w:val="005F4A1A"/>
    <w:rsid w:val="005F4DBF"/>
    <w:rsid w:val="005F53A6"/>
    <w:rsid w:val="005F7148"/>
    <w:rsid w:val="006006E2"/>
    <w:rsid w:val="00600ACC"/>
    <w:rsid w:val="00600DE5"/>
    <w:rsid w:val="0060351F"/>
    <w:rsid w:val="0060397A"/>
    <w:rsid w:val="00603C02"/>
    <w:rsid w:val="00604081"/>
    <w:rsid w:val="00605DFF"/>
    <w:rsid w:val="00606C0E"/>
    <w:rsid w:val="00607A5F"/>
    <w:rsid w:val="006100C8"/>
    <w:rsid w:val="00610E18"/>
    <w:rsid w:val="00611853"/>
    <w:rsid w:val="00611E06"/>
    <w:rsid w:val="00611E85"/>
    <w:rsid w:val="006121C2"/>
    <w:rsid w:val="00614FED"/>
    <w:rsid w:val="00616C37"/>
    <w:rsid w:val="00622AB5"/>
    <w:rsid w:val="006230C7"/>
    <w:rsid w:val="006236F5"/>
    <w:rsid w:val="00624B6D"/>
    <w:rsid w:val="00626CC8"/>
    <w:rsid w:val="00627C10"/>
    <w:rsid w:val="00630942"/>
    <w:rsid w:val="00631353"/>
    <w:rsid w:val="00631395"/>
    <w:rsid w:val="006323F0"/>
    <w:rsid w:val="006359B7"/>
    <w:rsid w:val="00636ED0"/>
    <w:rsid w:val="00637E3D"/>
    <w:rsid w:val="006402F7"/>
    <w:rsid w:val="00642C45"/>
    <w:rsid w:val="0064379B"/>
    <w:rsid w:val="00645114"/>
    <w:rsid w:val="0064679C"/>
    <w:rsid w:val="006471D7"/>
    <w:rsid w:val="00647685"/>
    <w:rsid w:val="00647EDA"/>
    <w:rsid w:val="00650B72"/>
    <w:rsid w:val="00652CFD"/>
    <w:rsid w:val="00654A5E"/>
    <w:rsid w:val="00655C75"/>
    <w:rsid w:val="00656138"/>
    <w:rsid w:val="00657EDC"/>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5FD"/>
    <w:rsid w:val="00684CA0"/>
    <w:rsid w:val="00685F51"/>
    <w:rsid w:val="0068634B"/>
    <w:rsid w:val="00691672"/>
    <w:rsid w:val="006930DE"/>
    <w:rsid w:val="00693FD8"/>
    <w:rsid w:val="00695B8B"/>
    <w:rsid w:val="006962D2"/>
    <w:rsid w:val="006967A1"/>
    <w:rsid w:val="00697737"/>
    <w:rsid w:val="006A0413"/>
    <w:rsid w:val="006A2115"/>
    <w:rsid w:val="006A5D13"/>
    <w:rsid w:val="006A77D1"/>
    <w:rsid w:val="006B1262"/>
    <w:rsid w:val="006B2C70"/>
    <w:rsid w:val="006B3E3D"/>
    <w:rsid w:val="006B4451"/>
    <w:rsid w:val="006B4B28"/>
    <w:rsid w:val="006B4E08"/>
    <w:rsid w:val="006B5048"/>
    <w:rsid w:val="006B56AB"/>
    <w:rsid w:val="006B5A13"/>
    <w:rsid w:val="006C0469"/>
    <w:rsid w:val="006C1282"/>
    <w:rsid w:val="006C21BC"/>
    <w:rsid w:val="006C3C95"/>
    <w:rsid w:val="006D26AD"/>
    <w:rsid w:val="006D27FF"/>
    <w:rsid w:val="006D37B5"/>
    <w:rsid w:val="006D3F43"/>
    <w:rsid w:val="006D3FE9"/>
    <w:rsid w:val="006D620C"/>
    <w:rsid w:val="006D6B49"/>
    <w:rsid w:val="006E4EF1"/>
    <w:rsid w:val="006E5306"/>
    <w:rsid w:val="006E57A0"/>
    <w:rsid w:val="006E5BAC"/>
    <w:rsid w:val="006E6540"/>
    <w:rsid w:val="006E6DEA"/>
    <w:rsid w:val="006F0A0D"/>
    <w:rsid w:val="006F122C"/>
    <w:rsid w:val="006F2B7A"/>
    <w:rsid w:val="006F334B"/>
    <w:rsid w:val="006F35CB"/>
    <w:rsid w:val="006F4270"/>
    <w:rsid w:val="006F472E"/>
    <w:rsid w:val="006F5F92"/>
    <w:rsid w:val="006F634F"/>
    <w:rsid w:val="006F66A0"/>
    <w:rsid w:val="00700F9D"/>
    <w:rsid w:val="007014C2"/>
    <w:rsid w:val="00702FFB"/>
    <w:rsid w:val="00703578"/>
    <w:rsid w:val="00703AE8"/>
    <w:rsid w:val="007060FA"/>
    <w:rsid w:val="00706CFD"/>
    <w:rsid w:val="00706FF3"/>
    <w:rsid w:val="00712400"/>
    <w:rsid w:val="007125F6"/>
    <w:rsid w:val="00714578"/>
    <w:rsid w:val="00717E55"/>
    <w:rsid w:val="00721159"/>
    <w:rsid w:val="00721C4B"/>
    <w:rsid w:val="0072208B"/>
    <w:rsid w:val="00723468"/>
    <w:rsid w:val="0072411E"/>
    <w:rsid w:val="00725989"/>
    <w:rsid w:val="00725C80"/>
    <w:rsid w:val="00726F88"/>
    <w:rsid w:val="00734A8E"/>
    <w:rsid w:val="00735324"/>
    <w:rsid w:val="00742AD3"/>
    <w:rsid w:val="0074360F"/>
    <w:rsid w:val="0074362F"/>
    <w:rsid w:val="0074378C"/>
    <w:rsid w:val="0074491D"/>
    <w:rsid w:val="00745C96"/>
    <w:rsid w:val="00746188"/>
    <w:rsid w:val="00746902"/>
    <w:rsid w:val="00746DEB"/>
    <w:rsid w:val="007473BC"/>
    <w:rsid w:val="00751367"/>
    <w:rsid w:val="007538CE"/>
    <w:rsid w:val="00755373"/>
    <w:rsid w:val="00756DC2"/>
    <w:rsid w:val="007620AF"/>
    <w:rsid w:val="00762710"/>
    <w:rsid w:val="007642F8"/>
    <w:rsid w:val="00764A7B"/>
    <w:rsid w:val="00765879"/>
    <w:rsid w:val="00765A41"/>
    <w:rsid w:val="007677BD"/>
    <w:rsid w:val="007731F2"/>
    <w:rsid w:val="007735C3"/>
    <w:rsid w:val="0077432C"/>
    <w:rsid w:val="0077464E"/>
    <w:rsid w:val="007763C4"/>
    <w:rsid w:val="00776AB9"/>
    <w:rsid w:val="0078231C"/>
    <w:rsid w:val="00786006"/>
    <w:rsid w:val="007871BA"/>
    <w:rsid w:val="00790D9D"/>
    <w:rsid w:val="007937D8"/>
    <w:rsid w:val="007939A7"/>
    <w:rsid w:val="00793DDF"/>
    <w:rsid w:val="00794C7D"/>
    <w:rsid w:val="00795405"/>
    <w:rsid w:val="00795C6E"/>
    <w:rsid w:val="00796C73"/>
    <w:rsid w:val="007A200E"/>
    <w:rsid w:val="007A33C9"/>
    <w:rsid w:val="007A545A"/>
    <w:rsid w:val="007A5488"/>
    <w:rsid w:val="007A68FD"/>
    <w:rsid w:val="007A71CF"/>
    <w:rsid w:val="007B0982"/>
    <w:rsid w:val="007B0F0F"/>
    <w:rsid w:val="007B1ECD"/>
    <w:rsid w:val="007B21ED"/>
    <w:rsid w:val="007B2945"/>
    <w:rsid w:val="007B2EF4"/>
    <w:rsid w:val="007B394D"/>
    <w:rsid w:val="007B4725"/>
    <w:rsid w:val="007B54FE"/>
    <w:rsid w:val="007B65AA"/>
    <w:rsid w:val="007B68E3"/>
    <w:rsid w:val="007B6E58"/>
    <w:rsid w:val="007B7291"/>
    <w:rsid w:val="007C0BAA"/>
    <w:rsid w:val="007C1FBB"/>
    <w:rsid w:val="007C2B4D"/>
    <w:rsid w:val="007C3884"/>
    <w:rsid w:val="007C4E33"/>
    <w:rsid w:val="007C55EB"/>
    <w:rsid w:val="007C6222"/>
    <w:rsid w:val="007C74BF"/>
    <w:rsid w:val="007D11F3"/>
    <w:rsid w:val="007D1846"/>
    <w:rsid w:val="007D4027"/>
    <w:rsid w:val="007D481C"/>
    <w:rsid w:val="007D5B91"/>
    <w:rsid w:val="007D6E65"/>
    <w:rsid w:val="007D707D"/>
    <w:rsid w:val="007D765E"/>
    <w:rsid w:val="007E0201"/>
    <w:rsid w:val="007E037F"/>
    <w:rsid w:val="007E0987"/>
    <w:rsid w:val="007E0E2A"/>
    <w:rsid w:val="007E1397"/>
    <w:rsid w:val="007E13EE"/>
    <w:rsid w:val="007E202E"/>
    <w:rsid w:val="007E2BFF"/>
    <w:rsid w:val="007E3687"/>
    <w:rsid w:val="007E3B00"/>
    <w:rsid w:val="007E3DD4"/>
    <w:rsid w:val="007E5C90"/>
    <w:rsid w:val="007E6566"/>
    <w:rsid w:val="007E6A65"/>
    <w:rsid w:val="007E6F73"/>
    <w:rsid w:val="007F2099"/>
    <w:rsid w:val="007F2362"/>
    <w:rsid w:val="007F5626"/>
    <w:rsid w:val="007F6336"/>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00D8"/>
    <w:rsid w:val="00821EC1"/>
    <w:rsid w:val="00822FFB"/>
    <w:rsid w:val="0082318F"/>
    <w:rsid w:val="0082667B"/>
    <w:rsid w:val="00827954"/>
    <w:rsid w:val="00831307"/>
    <w:rsid w:val="00832549"/>
    <w:rsid w:val="008367F8"/>
    <w:rsid w:val="00840181"/>
    <w:rsid w:val="008410C4"/>
    <w:rsid w:val="00841245"/>
    <w:rsid w:val="00843266"/>
    <w:rsid w:val="008445DF"/>
    <w:rsid w:val="00845CE4"/>
    <w:rsid w:val="0085288E"/>
    <w:rsid w:val="00855416"/>
    <w:rsid w:val="00855706"/>
    <w:rsid w:val="008562A2"/>
    <w:rsid w:val="00861819"/>
    <w:rsid w:val="00864088"/>
    <w:rsid w:val="00871B5A"/>
    <w:rsid w:val="00872A90"/>
    <w:rsid w:val="008732E3"/>
    <w:rsid w:val="0087340E"/>
    <w:rsid w:val="008742BC"/>
    <w:rsid w:val="00876F0C"/>
    <w:rsid w:val="00877711"/>
    <w:rsid w:val="0088035C"/>
    <w:rsid w:val="00881522"/>
    <w:rsid w:val="00881930"/>
    <w:rsid w:val="00882787"/>
    <w:rsid w:val="00882F94"/>
    <w:rsid w:val="008849C2"/>
    <w:rsid w:val="00884B5D"/>
    <w:rsid w:val="00887745"/>
    <w:rsid w:val="00890F94"/>
    <w:rsid w:val="00891895"/>
    <w:rsid w:val="00891AED"/>
    <w:rsid w:val="00892221"/>
    <w:rsid w:val="00894E41"/>
    <w:rsid w:val="00895775"/>
    <w:rsid w:val="00896B0C"/>
    <w:rsid w:val="008974BD"/>
    <w:rsid w:val="008A1657"/>
    <w:rsid w:val="008A1CFE"/>
    <w:rsid w:val="008A1FA8"/>
    <w:rsid w:val="008A288F"/>
    <w:rsid w:val="008A30E8"/>
    <w:rsid w:val="008A4C39"/>
    <w:rsid w:val="008A4DC8"/>
    <w:rsid w:val="008A4E2D"/>
    <w:rsid w:val="008A53C4"/>
    <w:rsid w:val="008A6026"/>
    <w:rsid w:val="008A7B06"/>
    <w:rsid w:val="008B20D7"/>
    <w:rsid w:val="008B4209"/>
    <w:rsid w:val="008B4218"/>
    <w:rsid w:val="008B4226"/>
    <w:rsid w:val="008B4A7D"/>
    <w:rsid w:val="008B5D7E"/>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5055"/>
    <w:rsid w:val="008D6725"/>
    <w:rsid w:val="008D7DD6"/>
    <w:rsid w:val="008E05AA"/>
    <w:rsid w:val="008E0DDF"/>
    <w:rsid w:val="008E1804"/>
    <w:rsid w:val="008E1FA9"/>
    <w:rsid w:val="008E2012"/>
    <w:rsid w:val="008E39E3"/>
    <w:rsid w:val="008E3DAE"/>
    <w:rsid w:val="008E528B"/>
    <w:rsid w:val="008E5415"/>
    <w:rsid w:val="008E6612"/>
    <w:rsid w:val="008F0C4C"/>
    <w:rsid w:val="008F1EF3"/>
    <w:rsid w:val="008F2B8B"/>
    <w:rsid w:val="008F51BE"/>
    <w:rsid w:val="009028FB"/>
    <w:rsid w:val="009039D9"/>
    <w:rsid w:val="009045A8"/>
    <w:rsid w:val="00904FEB"/>
    <w:rsid w:val="009055BB"/>
    <w:rsid w:val="009062B0"/>
    <w:rsid w:val="00906354"/>
    <w:rsid w:val="00906B29"/>
    <w:rsid w:val="00906E0F"/>
    <w:rsid w:val="0090723B"/>
    <w:rsid w:val="009108B4"/>
    <w:rsid w:val="0091096F"/>
    <w:rsid w:val="009111A5"/>
    <w:rsid w:val="009119F0"/>
    <w:rsid w:val="00912C34"/>
    <w:rsid w:val="00913B4C"/>
    <w:rsid w:val="00913C64"/>
    <w:rsid w:val="00913FE8"/>
    <w:rsid w:val="009148D9"/>
    <w:rsid w:val="0091565E"/>
    <w:rsid w:val="00915E1E"/>
    <w:rsid w:val="00916EE4"/>
    <w:rsid w:val="00916FC2"/>
    <w:rsid w:val="0092032A"/>
    <w:rsid w:val="009206F5"/>
    <w:rsid w:val="00920B31"/>
    <w:rsid w:val="009210EF"/>
    <w:rsid w:val="00921510"/>
    <w:rsid w:val="00925CF3"/>
    <w:rsid w:val="00925D6E"/>
    <w:rsid w:val="00925FEA"/>
    <w:rsid w:val="009300D6"/>
    <w:rsid w:val="009303A2"/>
    <w:rsid w:val="009304EA"/>
    <w:rsid w:val="00930621"/>
    <w:rsid w:val="0093494B"/>
    <w:rsid w:val="009375A3"/>
    <w:rsid w:val="00942CB4"/>
    <w:rsid w:val="00942DDE"/>
    <w:rsid w:val="00945AB5"/>
    <w:rsid w:val="009464F0"/>
    <w:rsid w:val="009506AC"/>
    <w:rsid w:val="00950BB3"/>
    <w:rsid w:val="00950D71"/>
    <w:rsid w:val="00951417"/>
    <w:rsid w:val="0095151B"/>
    <w:rsid w:val="00952575"/>
    <w:rsid w:val="009533E7"/>
    <w:rsid w:val="009562A4"/>
    <w:rsid w:val="0096028B"/>
    <w:rsid w:val="009618D0"/>
    <w:rsid w:val="00963581"/>
    <w:rsid w:val="00963F22"/>
    <w:rsid w:val="009678BD"/>
    <w:rsid w:val="00970305"/>
    <w:rsid w:val="00970FD5"/>
    <w:rsid w:val="009713D5"/>
    <w:rsid w:val="009715AE"/>
    <w:rsid w:val="00972886"/>
    <w:rsid w:val="00973FB1"/>
    <w:rsid w:val="009765E1"/>
    <w:rsid w:val="00976B08"/>
    <w:rsid w:val="00976EAD"/>
    <w:rsid w:val="00980B6A"/>
    <w:rsid w:val="00983D92"/>
    <w:rsid w:val="00983F1E"/>
    <w:rsid w:val="00985A55"/>
    <w:rsid w:val="009861B1"/>
    <w:rsid w:val="00987041"/>
    <w:rsid w:val="00987C03"/>
    <w:rsid w:val="00990402"/>
    <w:rsid w:val="00990422"/>
    <w:rsid w:val="00990B56"/>
    <w:rsid w:val="009912E4"/>
    <w:rsid w:val="00991650"/>
    <w:rsid w:val="009916A3"/>
    <w:rsid w:val="0099310B"/>
    <w:rsid w:val="009A0C3A"/>
    <w:rsid w:val="009A207C"/>
    <w:rsid w:val="009A257D"/>
    <w:rsid w:val="009A296B"/>
    <w:rsid w:val="009A40F0"/>
    <w:rsid w:val="009A5B97"/>
    <w:rsid w:val="009B1140"/>
    <w:rsid w:val="009B330A"/>
    <w:rsid w:val="009B43AB"/>
    <w:rsid w:val="009B5803"/>
    <w:rsid w:val="009B7370"/>
    <w:rsid w:val="009B7ABA"/>
    <w:rsid w:val="009C133A"/>
    <w:rsid w:val="009C1390"/>
    <w:rsid w:val="009C1BEF"/>
    <w:rsid w:val="009C3EA1"/>
    <w:rsid w:val="009C53FB"/>
    <w:rsid w:val="009C63B3"/>
    <w:rsid w:val="009C63CB"/>
    <w:rsid w:val="009C67CD"/>
    <w:rsid w:val="009C681A"/>
    <w:rsid w:val="009C6EFA"/>
    <w:rsid w:val="009C779B"/>
    <w:rsid w:val="009D12B0"/>
    <w:rsid w:val="009D2206"/>
    <w:rsid w:val="009D284B"/>
    <w:rsid w:val="009D5F92"/>
    <w:rsid w:val="009E1572"/>
    <w:rsid w:val="009E4270"/>
    <w:rsid w:val="009E44B3"/>
    <w:rsid w:val="009E4C07"/>
    <w:rsid w:val="009F1BD8"/>
    <w:rsid w:val="009F258C"/>
    <w:rsid w:val="009F2F17"/>
    <w:rsid w:val="009F3EF1"/>
    <w:rsid w:val="009F436B"/>
    <w:rsid w:val="009F4805"/>
    <w:rsid w:val="009F4B47"/>
    <w:rsid w:val="009F5397"/>
    <w:rsid w:val="009F6340"/>
    <w:rsid w:val="00A0067A"/>
    <w:rsid w:val="00A010FB"/>
    <w:rsid w:val="00A02BC4"/>
    <w:rsid w:val="00A03571"/>
    <w:rsid w:val="00A1287C"/>
    <w:rsid w:val="00A1328F"/>
    <w:rsid w:val="00A14B6D"/>
    <w:rsid w:val="00A15ECD"/>
    <w:rsid w:val="00A2064A"/>
    <w:rsid w:val="00A251B1"/>
    <w:rsid w:val="00A277DC"/>
    <w:rsid w:val="00A302BC"/>
    <w:rsid w:val="00A31396"/>
    <w:rsid w:val="00A313C3"/>
    <w:rsid w:val="00A3181A"/>
    <w:rsid w:val="00A32552"/>
    <w:rsid w:val="00A32E7B"/>
    <w:rsid w:val="00A32EFB"/>
    <w:rsid w:val="00A33D39"/>
    <w:rsid w:val="00A347F0"/>
    <w:rsid w:val="00A36F6D"/>
    <w:rsid w:val="00A37DE1"/>
    <w:rsid w:val="00A41308"/>
    <w:rsid w:val="00A43B1E"/>
    <w:rsid w:val="00A47ED4"/>
    <w:rsid w:val="00A529C1"/>
    <w:rsid w:val="00A540F4"/>
    <w:rsid w:val="00A54B6B"/>
    <w:rsid w:val="00A60F29"/>
    <w:rsid w:val="00A613EA"/>
    <w:rsid w:val="00A619D5"/>
    <w:rsid w:val="00A634AF"/>
    <w:rsid w:val="00A647A7"/>
    <w:rsid w:val="00A650B7"/>
    <w:rsid w:val="00A65BE3"/>
    <w:rsid w:val="00A7080B"/>
    <w:rsid w:val="00A70DF4"/>
    <w:rsid w:val="00A72D22"/>
    <w:rsid w:val="00A736E0"/>
    <w:rsid w:val="00A73E09"/>
    <w:rsid w:val="00A746E5"/>
    <w:rsid w:val="00A74946"/>
    <w:rsid w:val="00A80341"/>
    <w:rsid w:val="00A80B6D"/>
    <w:rsid w:val="00A81389"/>
    <w:rsid w:val="00A83B5A"/>
    <w:rsid w:val="00A86C80"/>
    <w:rsid w:val="00A86D0A"/>
    <w:rsid w:val="00A9147A"/>
    <w:rsid w:val="00A91811"/>
    <w:rsid w:val="00A944D4"/>
    <w:rsid w:val="00A94817"/>
    <w:rsid w:val="00A94EC0"/>
    <w:rsid w:val="00A94F05"/>
    <w:rsid w:val="00A95B08"/>
    <w:rsid w:val="00A9691C"/>
    <w:rsid w:val="00A96E89"/>
    <w:rsid w:val="00AA03AD"/>
    <w:rsid w:val="00AA2424"/>
    <w:rsid w:val="00AA3C76"/>
    <w:rsid w:val="00AA4F9D"/>
    <w:rsid w:val="00AA502B"/>
    <w:rsid w:val="00AA5250"/>
    <w:rsid w:val="00AA5297"/>
    <w:rsid w:val="00AA5FE1"/>
    <w:rsid w:val="00AA6219"/>
    <w:rsid w:val="00AA793A"/>
    <w:rsid w:val="00AB128E"/>
    <w:rsid w:val="00AB2118"/>
    <w:rsid w:val="00AB2494"/>
    <w:rsid w:val="00AB3B27"/>
    <w:rsid w:val="00AB43C5"/>
    <w:rsid w:val="00AB650C"/>
    <w:rsid w:val="00AC05ED"/>
    <w:rsid w:val="00AC2AB5"/>
    <w:rsid w:val="00AC3357"/>
    <w:rsid w:val="00AC34C9"/>
    <w:rsid w:val="00AC3B78"/>
    <w:rsid w:val="00AC4128"/>
    <w:rsid w:val="00AC488C"/>
    <w:rsid w:val="00AC5C44"/>
    <w:rsid w:val="00AC5FC4"/>
    <w:rsid w:val="00AC6F1C"/>
    <w:rsid w:val="00AC79CE"/>
    <w:rsid w:val="00AD0632"/>
    <w:rsid w:val="00AD15B8"/>
    <w:rsid w:val="00AD1CA0"/>
    <w:rsid w:val="00AD2587"/>
    <w:rsid w:val="00AD292F"/>
    <w:rsid w:val="00AD2A1A"/>
    <w:rsid w:val="00AD2CA3"/>
    <w:rsid w:val="00AD32A5"/>
    <w:rsid w:val="00AD3B78"/>
    <w:rsid w:val="00AD449C"/>
    <w:rsid w:val="00AD5D39"/>
    <w:rsid w:val="00AD61E5"/>
    <w:rsid w:val="00AD6B8D"/>
    <w:rsid w:val="00AE175D"/>
    <w:rsid w:val="00AE4AE1"/>
    <w:rsid w:val="00AE6A68"/>
    <w:rsid w:val="00AF09B0"/>
    <w:rsid w:val="00AF2AC7"/>
    <w:rsid w:val="00AF2BA5"/>
    <w:rsid w:val="00AF6891"/>
    <w:rsid w:val="00AF7B32"/>
    <w:rsid w:val="00B00781"/>
    <w:rsid w:val="00B010A5"/>
    <w:rsid w:val="00B02D02"/>
    <w:rsid w:val="00B0331F"/>
    <w:rsid w:val="00B044DD"/>
    <w:rsid w:val="00B045AC"/>
    <w:rsid w:val="00B06C23"/>
    <w:rsid w:val="00B10A69"/>
    <w:rsid w:val="00B111B7"/>
    <w:rsid w:val="00B12290"/>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214D"/>
    <w:rsid w:val="00B334E2"/>
    <w:rsid w:val="00B355BB"/>
    <w:rsid w:val="00B365D4"/>
    <w:rsid w:val="00B368F2"/>
    <w:rsid w:val="00B37861"/>
    <w:rsid w:val="00B430BC"/>
    <w:rsid w:val="00B43131"/>
    <w:rsid w:val="00B4378B"/>
    <w:rsid w:val="00B45636"/>
    <w:rsid w:val="00B45FD3"/>
    <w:rsid w:val="00B50D41"/>
    <w:rsid w:val="00B51CD1"/>
    <w:rsid w:val="00B52177"/>
    <w:rsid w:val="00B53F44"/>
    <w:rsid w:val="00B54384"/>
    <w:rsid w:val="00B562AC"/>
    <w:rsid w:val="00B57019"/>
    <w:rsid w:val="00B5717B"/>
    <w:rsid w:val="00B57D2F"/>
    <w:rsid w:val="00B609BA"/>
    <w:rsid w:val="00B60ED5"/>
    <w:rsid w:val="00B64708"/>
    <w:rsid w:val="00B6529C"/>
    <w:rsid w:val="00B65A88"/>
    <w:rsid w:val="00B65F0F"/>
    <w:rsid w:val="00B665FC"/>
    <w:rsid w:val="00B666CB"/>
    <w:rsid w:val="00B66708"/>
    <w:rsid w:val="00B70A58"/>
    <w:rsid w:val="00B74AF4"/>
    <w:rsid w:val="00B7574E"/>
    <w:rsid w:val="00B75CD8"/>
    <w:rsid w:val="00B77308"/>
    <w:rsid w:val="00B80B84"/>
    <w:rsid w:val="00B80D96"/>
    <w:rsid w:val="00B82984"/>
    <w:rsid w:val="00B82B3E"/>
    <w:rsid w:val="00B83857"/>
    <w:rsid w:val="00B84280"/>
    <w:rsid w:val="00B84D39"/>
    <w:rsid w:val="00B8636A"/>
    <w:rsid w:val="00B86833"/>
    <w:rsid w:val="00B87563"/>
    <w:rsid w:val="00B90DE2"/>
    <w:rsid w:val="00B91FF8"/>
    <w:rsid w:val="00B92A65"/>
    <w:rsid w:val="00B9367F"/>
    <w:rsid w:val="00B95948"/>
    <w:rsid w:val="00B96358"/>
    <w:rsid w:val="00BA11B8"/>
    <w:rsid w:val="00BA3ED4"/>
    <w:rsid w:val="00BA69B2"/>
    <w:rsid w:val="00BA6CA7"/>
    <w:rsid w:val="00BA7490"/>
    <w:rsid w:val="00BA7F54"/>
    <w:rsid w:val="00BB14A6"/>
    <w:rsid w:val="00BB45AE"/>
    <w:rsid w:val="00BB47ED"/>
    <w:rsid w:val="00BB5F97"/>
    <w:rsid w:val="00BB65DA"/>
    <w:rsid w:val="00BB7473"/>
    <w:rsid w:val="00BC178A"/>
    <w:rsid w:val="00BC21B8"/>
    <w:rsid w:val="00BC3AC3"/>
    <w:rsid w:val="00BC3AE3"/>
    <w:rsid w:val="00BC58C2"/>
    <w:rsid w:val="00BC6ECF"/>
    <w:rsid w:val="00BD20A9"/>
    <w:rsid w:val="00BE01CF"/>
    <w:rsid w:val="00BE1266"/>
    <w:rsid w:val="00BE12FA"/>
    <w:rsid w:val="00BE4479"/>
    <w:rsid w:val="00BE50D7"/>
    <w:rsid w:val="00BE6A86"/>
    <w:rsid w:val="00BE7767"/>
    <w:rsid w:val="00BE783F"/>
    <w:rsid w:val="00BF0AC5"/>
    <w:rsid w:val="00BF146F"/>
    <w:rsid w:val="00BF1A24"/>
    <w:rsid w:val="00BF24DD"/>
    <w:rsid w:val="00BF345C"/>
    <w:rsid w:val="00BF3C10"/>
    <w:rsid w:val="00BF40C7"/>
    <w:rsid w:val="00BF5524"/>
    <w:rsid w:val="00C014D3"/>
    <w:rsid w:val="00C040E3"/>
    <w:rsid w:val="00C054CE"/>
    <w:rsid w:val="00C05F29"/>
    <w:rsid w:val="00C06F62"/>
    <w:rsid w:val="00C11D95"/>
    <w:rsid w:val="00C11DCE"/>
    <w:rsid w:val="00C127E9"/>
    <w:rsid w:val="00C12949"/>
    <w:rsid w:val="00C1447D"/>
    <w:rsid w:val="00C14774"/>
    <w:rsid w:val="00C2184C"/>
    <w:rsid w:val="00C243D9"/>
    <w:rsid w:val="00C24CD9"/>
    <w:rsid w:val="00C25DC9"/>
    <w:rsid w:val="00C26067"/>
    <w:rsid w:val="00C26276"/>
    <w:rsid w:val="00C277B0"/>
    <w:rsid w:val="00C27916"/>
    <w:rsid w:val="00C301F7"/>
    <w:rsid w:val="00C323F3"/>
    <w:rsid w:val="00C33120"/>
    <w:rsid w:val="00C369F0"/>
    <w:rsid w:val="00C377CE"/>
    <w:rsid w:val="00C37F17"/>
    <w:rsid w:val="00C40B9C"/>
    <w:rsid w:val="00C440FC"/>
    <w:rsid w:val="00C442F6"/>
    <w:rsid w:val="00C44396"/>
    <w:rsid w:val="00C4458D"/>
    <w:rsid w:val="00C45C8A"/>
    <w:rsid w:val="00C461DE"/>
    <w:rsid w:val="00C46E01"/>
    <w:rsid w:val="00C46FB3"/>
    <w:rsid w:val="00C476D8"/>
    <w:rsid w:val="00C50605"/>
    <w:rsid w:val="00C519AC"/>
    <w:rsid w:val="00C5286E"/>
    <w:rsid w:val="00C53700"/>
    <w:rsid w:val="00C5463A"/>
    <w:rsid w:val="00C5484A"/>
    <w:rsid w:val="00C54AF8"/>
    <w:rsid w:val="00C55A98"/>
    <w:rsid w:val="00C567E5"/>
    <w:rsid w:val="00C56952"/>
    <w:rsid w:val="00C5732F"/>
    <w:rsid w:val="00C6038F"/>
    <w:rsid w:val="00C6216A"/>
    <w:rsid w:val="00C62EDB"/>
    <w:rsid w:val="00C633DB"/>
    <w:rsid w:val="00C63B82"/>
    <w:rsid w:val="00C64DB9"/>
    <w:rsid w:val="00C65018"/>
    <w:rsid w:val="00C708E4"/>
    <w:rsid w:val="00C75369"/>
    <w:rsid w:val="00C805C5"/>
    <w:rsid w:val="00C80D9B"/>
    <w:rsid w:val="00C84175"/>
    <w:rsid w:val="00C85388"/>
    <w:rsid w:val="00C86262"/>
    <w:rsid w:val="00C87395"/>
    <w:rsid w:val="00C87BF3"/>
    <w:rsid w:val="00C911DF"/>
    <w:rsid w:val="00C91430"/>
    <w:rsid w:val="00C93D55"/>
    <w:rsid w:val="00C94362"/>
    <w:rsid w:val="00C956B7"/>
    <w:rsid w:val="00C96186"/>
    <w:rsid w:val="00C968E5"/>
    <w:rsid w:val="00C96FC9"/>
    <w:rsid w:val="00C97DC1"/>
    <w:rsid w:val="00CA0D24"/>
    <w:rsid w:val="00CA116F"/>
    <w:rsid w:val="00CA206B"/>
    <w:rsid w:val="00CA49ED"/>
    <w:rsid w:val="00CA4AD5"/>
    <w:rsid w:val="00CA5B96"/>
    <w:rsid w:val="00CA7C3C"/>
    <w:rsid w:val="00CB058A"/>
    <w:rsid w:val="00CB28BD"/>
    <w:rsid w:val="00CB42AD"/>
    <w:rsid w:val="00CB6646"/>
    <w:rsid w:val="00CC0891"/>
    <w:rsid w:val="00CC0D33"/>
    <w:rsid w:val="00CC13CB"/>
    <w:rsid w:val="00CC2F46"/>
    <w:rsid w:val="00CC4B2D"/>
    <w:rsid w:val="00CC536A"/>
    <w:rsid w:val="00CC5A7A"/>
    <w:rsid w:val="00CC6716"/>
    <w:rsid w:val="00CC6A6A"/>
    <w:rsid w:val="00CC6C22"/>
    <w:rsid w:val="00CD2669"/>
    <w:rsid w:val="00CD2F66"/>
    <w:rsid w:val="00CE0638"/>
    <w:rsid w:val="00CE1E91"/>
    <w:rsid w:val="00CE36A5"/>
    <w:rsid w:val="00CE3843"/>
    <w:rsid w:val="00CE3ABB"/>
    <w:rsid w:val="00CE409F"/>
    <w:rsid w:val="00CE56B2"/>
    <w:rsid w:val="00CE68A9"/>
    <w:rsid w:val="00CE69F9"/>
    <w:rsid w:val="00CE7308"/>
    <w:rsid w:val="00CF02EE"/>
    <w:rsid w:val="00CF0660"/>
    <w:rsid w:val="00CF0EFE"/>
    <w:rsid w:val="00CF14E2"/>
    <w:rsid w:val="00CF31E6"/>
    <w:rsid w:val="00CF342B"/>
    <w:rsid w:val="00CF5ADB"/>
    <w:rsid w:val="00CF6965"/>
    <w:rsid w:val="00CF6A5C"/>
    <w:rsid w:val="00D02677"/>
    <w:rsid w:val="00D0534F"/>
    <w:rsid w:val="00D05822"/>
    <w:rsid w:val="00D06A5F"/>
    <w:rsid w:val="00D06FDE"/>
    <w:rsid w:val="00D07FE3"/>
    <w:rsid w:val="00D10ADD"/>
    <w:rsid w:val="00D10D13"/>
    <w:rsid w:val="00D10EF5"/>
    <w:rsid w:val="00D11F23"/>
    <w:rsid w:val="00D13802"/>
    <w:rsid w:val="00D14FAE"/>
    <w:rsid w:val="00D15D90"/>
    <w:rsid w:val="00D15E60"/>
    <w:rsid w:val="00D16F6C"/>
    <w:rsid w:val="00D17907"/>
    <w:rsid w:val="00D205BC"/>
    <w:rsid w:val="00D20956"/>
    <w:rsid w:val="00D213C4"/>
    <w:rsid w:val="00D22C20"/>
    <w:rsid w:val="00D232ED"/>
    <w:rsid w:val="00D23BC2"/>
    <w:rsid w:val="00D23F0F"/>
    <w:rsid w:val="00D25B0D"/>
    <w:rsid w:val="00D26A3C"/>
    <w:rsid w:val="00D27035"/>
    <w:rsid w:val="00D30A6D"/>
    <w:rsid w:val="00D3148A"/>
    <w:rsid w:val="00D31B22"/>
    <w:rsid w:val="00D32364"/>
    <w:rsid w:val="00D33666"/>
    <w:rsid w:val="00D34F0D"/>
    <w:rsid w:val="00D35E4D"/>
    <w:rsid w:val="00D3761B"/>
    <w:rsid w:val="00D40BD5"/>
    <w:rsid w:val="00D4116B"/>
    <w:rsid w:val="00D42323"/>
    <w:rsid w:val="00D45F2D"/>
    <w:rsid w:val="00D46069"/>
    <w:rsid w:val="00D46586"/>
    <w:rsid w:val="00D50137"/>
    <w:rsid w:val="00D50335"/>
    <w:rsid w:val="00D511BD"/>
    <w:rsid w:val="00D514B1"/>
    <w:rsid w:val="00D53686"/>
    <w:rsid w:val="00D54A87"/>
    <w:rsid w:val="00D552BE"/>
    <w:rsid w:val="00D5625C"/>
    <w:rsid w:val="00D56511"/>
    <w:rsid w:val="00D57C3A"/>
    <w:rsid w:val="00D6087C"/>
    <w:rsid w:val="00D67195"/>
    <w:rsid w:val="00D67481"/>
    <w:rsid w:val="00D70E5C"/>
    <w:rsid w:val="00D726A7"/>
    <w:rsid w:val="00D73B9F"/>
    <w:rsid w:val="00D7472A"/>
    <w:rsid w:val="00D76DEC"/>
    <w:rsid w:val="00D76F1D"/>
    <w:rsid w:val="00D77437"/>
    <w:rsid w:val="00D800C1"/>
    <w:rsid w:val="00D81781"/>
    <w:rsid w:val="00D81C7C"/>
    <w:rsid w:val="00D820D0"/>
    <w:rsid w:val="00D832AD"/>
    <w:rsid w:val="00D8385E"/>
    <w:rsid w:val="00D83DC4"/>
    <w:rsid w:val="00D86410"/>
    <w:rsid w:val="00D86E77"/>
    <w:rsid w:val="00D90EB8"/>
    <w:rsid w:val="00D93EB7"/>
    <w:rsid w:val="00D960BE"/>
    <w:rsid w:val="00D97643"/>
    <w:rsid w:val="00D977D1"/>
    <w:rsid w:val="00D977ED"/>
    <w:rsid w:val="00DA0444"/>
    <w:rsid w:val="00DA13AB"/>
    <w:rsid w:val="00DA28D1"/>
    <w:rsid w:val="00DA40D8"/>
    <w:rsid w:val="00DA58A0"/>
    <w:rsid w:val="00DA6442"/>
    <w:rsid w:val="00DB0AB1"/>
    <w:rsid w:val="00DB31BE"/>
    <w:rsid w:val="00DB3AD8"/>
    <w:rsid w:val="00DB3D23"/>
    <w:rsid w:val="00DB4073"/>
    <w:rsid w:val="00DB7DC5"/>
    <w:rsid w:val="00DC0A23"/>
    <w:rsid w:val="00DC1E1E"/>
    <w:rsid w:val="00DC1F6A"/>
    <w:rsid w:val="00DC335F"/>
    <w:rsid w:val="00DC34F6"/>
    <w:rsid w:val="00DC44BF"/>
    <w:rsid w:val="00DC488E"/>
    <w:rsid w:val="00DC73C8"/>
    <w:rsid w:val="00DD0372"/>
    <w:rsid w:val="00DD273F"/>
    <w:rsid w:val="00DD2954"/>
    <w:rsid w:val="00DD2A7E"/>
    <w:rsid w:val="00DD33DA"/>
    <w:rsid w:val="00DD3B00"/>
    <w:rsid w:val="00DD4385"/>
    <w:rsid w:val="00DD4C63"/>
    <w:rsid w:val="00DE0DF9"/>
    <w:rsid w:val="00DE1B98"/>
    <w:rsid w:val="00DE24F1"/>
    <w:rsid w:val="00DE2797"/>
    <w:rsid w:val="00DE2DF3"/>
    <w:rsid w:val="00DE381F"/>
    <w:rsid w:val="00DE3D26"/>
    <w:rsid w:val="00DE4D16"/>
    <w:rsid w:val="00DE7B5F"/>
    <w:rsid w:val="00DF04B4"/>
    <w:rsid w:val="00DF0AB1"/>
    <w:rsid w:val="00DF1A40"/>
    <w:rsid w:val="00DF40CF"/>
    <w:rsid w:val="00DF42AD"/>
    <w:rsid w:val="00DF6490"/>
    <w:rsid w:val="00DF7389"/>
    <w:rsid w:val="00DF7474"/>
    <w:rsid w:val="00DF7D99"/>
    <w:rsid w:val="00E03C17"/>
    <w:rsid w:val="00E049D3"/>
    <w:rsid w:val="00E0504A"/>
    <w:rsid w:val="00E055B1"/>
    <w:rsid w:val="00E06E8A"/>
    <w:rsid w:val="00E07F26"/>
    <w:rsid w:val="00E101B2"/>
    <w:rsid w:val="00E10AB8"/>
    <w:rsid w:val="00E12A67"/>
    <w:rsid w:val="00E12DDA"/>
    <w:rsid w:val="00E148AA"/>
    <w:rsid w:val="00E14B06"/>
    <w:rsid w:val="00E14DDE"/>
    <w:rsid w:val="00E158E5"/>
    <w:rsid w:val="00E161A1"/>
    <w:rsid w:val="00E16F21"/>
    <w:rsid w:val="00E173D4"/>
    <w:rsid w:val="00E17CF6"/>
    <w:rsid w:val="00E20222"/>
    <w:rsid w:val="00E224D3"/>
    <w:rsid w:val="00E22986"/>
    <w:rsid w:val="00E243C7"/>
    <w:rsid w:val="00E245CC"/>
    <w:rsid w:val="00E24812"/>
    <w:rsid w:val="00E24833"/>
    <w:rsid w:val="00E25162"/>
    <w:rsid w:val="00E259BF"/>
    <w:rsid w:val="00E259F3"/>
    <w:rsid w:val="00E302DD"/>
    <w:rsid w:val="00E32907"/>
    <w:rsid w:val="00E32A90"/>
    <w:rsid w:val="00E339F3"/>
    <w:rsid w:val="00E3400F"/>
    <w:rsid w:val="00E34BA9"/>
    <w:rsid w:val="00E35820"/>
    <w:rsid w:val="00E36661"/>
    <w:rsid w:val="00E37DC1"/>
    <w:rsid w:val="00E422CA"/>
    <w:rsid w:val="00E42510"/>
    <w:rsid w:val="00E42DC5"/>
    <w:rsid w:val="00E43223"/>
    <w:rsid w:val="00E43720"/>
    <w:rsid w:val="00E437BF"/>
    <w:rsid w:val="00E44047"/>
    <w:rsid w:val="00E44CC1"/>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4AB2"/>
    <w:rsid w:val="00E7624B"/>
    <w:rsid w:val="00E817DA"/>
    <w:rsid w:val="00E82C5D"/>
    <w:rsid w:val="00E8306C"/>
    <w:rsid w:val="00E836BF"/>
    <w:rsid w:val="00E8383A"/>
    <w:rsid w:val="00E83A8F"/>
    <w:rsid w:val="00E85C10"/>
    <w:rsid w:val="00E863D5"/>
    <w:rsid w:val="00E87AA7"/>
    <w:rsid w:val="00E87B40"/>
    <w:rsid w:val="00E910F7"/>
    <w:rsid w:val="00E91710"/>
    <w:rsid w:val="00E937FF"/>
    <w:rsid w:val="00E94F40"/>
    <w:rsid w:val="00E962AA"/>
    <w:rsid w:val="00E973F9"/>
    <w:rsid w:val="00EA03E9"/>
    <w:rsid w:val="00EA1267"/>
    <w:rsid w:val="00EA1269"/>
    <w:rsid w:val="00EA27BB"/>
    <w:rsid w:val="00EA3CB8"/>
    <w:rsid w:val="00EA494F"/>
    <w:rsid w:val="00EA5C4A"/>
    <w:rsid w:val="00EA62A0"/>
    <w:rsid w:val="00EA6B53"/>
    <w:rsid w:val="00EA79D3"/>
    <w:rsid w:val="00EB0126"/>
    <w:rsid w:val="00EB0D7A"/>
    <w:rsid w:val="00EB22DF"/>
    <w:rsid w:val="00EB32DE"/>
    <w:rsid w:val="00EB48E8"/>
    <w:rsid w:val="00EB6570"/>
    <w:rsid w:val="00EB6937"/>
    <w:rsid w:val="00EC1087"/>
    <w:rsid w:val="00EC1BF6"/>
    <w:rsid w:val="00EC202E"/>
    <w:rsid w:val="00EC3CC2"/>
    <w:rsid w:val="00EC3FD0"/>
    <w:rsid w:val="00EC484D"/>
    <w:rsid w:val="00EC48B6"/>
    <w:rsid w:val="00EC6685"/>
    <w:rsid w:val="00EC698E"/>
    <w:rsid w:val="00EC7BF9"/>
    <w:rsid w:val="00ED0203"/>
    <w:rsid w:val="00ED0D2C"/>
    <w:rsid w:val="00ED439F"/>
    <w:rsid w:val="00ED660D"/>
    <w:rsid w:val="00EE0B4B"/>
    <w:rsid w:val="00EE1B5A"/>
    <w:rsid w:val="00EE232A"/>
    <w:rsid w:val="00EE2D6E"/>
    <w:rsid w:val="00EE2DF0"/>
    <w:rsid w:val="00EE3926"/>
    <w:rsid w:val="00EE7098"/>
    <w:rsid w:val="00EF05A2"/>
    <w:rsid w:val="00EF126B"/>
    <w:rsid w:val="00EF19CC"/>
    <w:rsid w:val="00EF2482"/>
    <w:rsid w:val="00EF2885"/>
    <w:rsid w:val="00EF3F1B"/>
    <w:rsid w:val="00F0104F"/>
    <w:rsid w:val="00F014D1"/>
    <w:rsid w:val="00F02D5A"/>
    <w:rsid w:val="00F03C68"/>
    <w:rsid w:val="00F03E2C"/>
    <w:rsid w:val="00F04B7E"/>
    <w:rsid w:val="00F0690F"/>
    <w:rsid w:val="00F06BEC"/>
    <w:rsid w:val="00F07339"/>
    <w:rsid w:val="00F07F52"/>
    <w:rsid w:val="00F103EE"/>
    <w:rsid w:val="00F111E9"/>
    <w:rsid w:val="00F12330"/>
    <w:rsid w:val="00F142F5"/>
    <w:rsid w:val="00F150FA"/>
    <w:rsid w:val="00F16E95"/>
    <w:rsid w:val="00F1743A"/>
    <w:rsid w:val="00F17D70"/>
    <w:rsid w:val="00F23594"/>
    <w:rsid w:val="00F236C0"/>
    <w:rsid w:val="00F266C3"/>
    <w:rsid w:val="00F2694B"/>
    <w:rsid w:val="00F27C91"/>
    <w:rsid w:val="00F321D0"/>
    <w:rsid w:val="00F323D2"/>
    <w:rsid w:val="00F32D2F"/>
    <w:rsid w:val="00F34667"/>
    <w:rsid w:val="00F35651"/>
    <w:rsid w:val="00F409E2"/>
    <w:rsid w:val="00F4265E"/>
    <w:rsid w:val="00F450A7"/>
    <w:rsid w:val="00F46663"/>
    <w:rsid w:val="00F467E0"/>
    <w:rsid w:val="00F47959"/>
    <w:rsid w:val="00F47A77"/>
    <w:rsid w:val="00F47D38"/>
    <w:rsid w:val="00F47F5C"/>
    <w:rsid w:val="00F528DA"/>
    <w:rsid w:val="00F52AA1"/>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81169"/>
    <w:rsid w:val="00F8360D"/>
    <w:rsid w:val="00F83CD5"/>
    <w:rsid w:val="00F86D50"/>
    <w:rsid w:val="00F8722C"/>
    <w:rsid w:val="00F90184"/>
    <w:rsid w:val="00F90B86"/>
    <w:rsid w:val="00F926C5"/>
    <w:rsid w:val="00F92D0B"/>
    <w:rsid w:val="00F93FF0"/>
    <w:rsid w:val="00FA1F99"/>
    <w:rsid w:val="00FA4BCA"/>
    <w:rsid w:val="00FA546E"/>
    <w:rsid w:val="00FA5A22"/>
    <w:rsid w:val="00FA5E31"/>
    <w:rsid w:val="00FA62A1"/>
    <w:rsid w:val="00FA6417"/>
    <w:rsid w:val="00FB0DAC"/>
    <w:rsid w:val="00FB1794"/>
    <w:rsid w:val="00FB1EC7"/>
    <w:rsid w:val="00FB20D4"/>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D72"/>
    <w:rsid w:val="00FD1E2F"/>
    <w:rsid w:val="00FD389D"/>
    <w:rsid w:val="00FD6675"/>
    <w:rsid w:val="00FD78BD"/>
    <w:rsid w:val="00FE0644"/>
    <w:rsid w:val="00FE0FC1"/>
    <w:rsid w:val="00FE133E"/>
    <w:rsid w:val="00FE2608"/>
    <w:rsid w:val="00FE32BC"/>
    <w:rsid w:val="00FE3B7B"/>
    <w:rsid w:val="00FF0029"/>
    <w:rsid w:val="00FF04B5"/>
    <w:rsid w:val="00FF0D2F"/>
    <w:rsid w:val="00FF2ED4"/>
    <w:rsid w:val="00FF64EE"/>
    <w:rsid w:val="00FF6838"/>
    <w:rsid w:val="00FF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B1Zchn">
    <w:name w:val="B1 Zchn"/>
    <w:qFormat/>
    <w:locked/>
    <w:rsid w:val="0052320C"/>
    <w:rPr>
      <w:rFonts w:eastAsia="Times New Roman"/>
    </w:rPr>
  </w:style>
  <w:style w:type="character" w:customStyle="1" w:styleId="TALCar">
    <w:name w:val="TAL Car"/>
    <w:qFormat/>
    <w:rsid w:val="009210EF"/>
    <w:rPr>
      <w:rFonts w:ascii="Arial" w:eastAsia="Times New Roman" w:hAnsi="Arial"/>
      <w:sz w:val="18"/>
      <w:lang w:val="en-GB" w:eastAsia="ja-JP"/>
    </w:rPr>
  </w:style>
  <w:style w:type="character" w:customStyle="1" w:styleId="B1Char1">
    <w:name w:val="B1 Char1"/>
    <w:qFormat/>
    <w:rsid w:val="00232361"/>
    <w:rPr>
      <w:rFonts w:eastAsia="Times New Roman"/>
      <w:lang w:val="en-GB" w:eastAsia="ja-JP"/>
    </w:rPr>
  </w:style>
  <w:style w:type="paragraph" w:customStyle="1" w:styleId="B2">
    <w:name w:val="B2"/>
    <w:basedOn w:val="List2"/>
    <w:link w:val="B2Char"/>
    <w:qFormat/>
    <w:rsid w:val="0023236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3236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32361"/>
    <w:pPr>
      <w:ind w:left="720" w:hanging="360"/>
      <w:contextualSpacing/>
    </w:pPr>
  </w:style>
  <w:style w:type="paragraph" w:customStyle="1" w:styleId="ListParagraph3">
    <w:name w:val="List Paragraph3"/>
    <w:basedOn w:val="Normal"/>
    <w:rsid w:val="00183F24"/>
    <w:pPr>
      <w:spacing w:before="100" w:beforeAutospacing="1"/>
      <w:ind w:left="720"/>
      <w:contextualSpacing/>
    </w:pPr>
    <w:rPr>
      <w:rFonts w:eastAsia="SimSun"/>
      <w:sz w:val="24"/>
      <w:szCs w:val="24"/>
      <w:lang w:val="en-US" w:eastAsia="zh-CN"/>
    </w:rPr>
  </w:style>
  <w:style w:type="character" w:styleId="Hyperlink">
    <w:name w:val="Hyperlink"/>
    <w:basedOn w:val="DefaultParagraphFont"/>
    <w:uiPriority w:val="99"/>
    <w:unhideWhenUsed/>
    <w:rsid w:val="0060351F"/>
    <w:rPr>
      <w:color w:val="0563C1" w:themeColor="hyperlink"/>
      <w:u w:val="single"/>
    </w:rPr>
  </w:style>
  <w:style w:type="character" w:styleId="UnresolvedMention">
    <w:name w:val="Unresolved Mention"/>
    <w:basedOn w:val="DefaultParagraphFont"/>
    <w:uiPriority w:val="99"/>
    <w:semiHidden/>
    <w:unhideWhenUsed/>
    <w:rsid w:val="006035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66274440">
      <w:bodyDiv w:val="1"/>
      <w:marLeft w:val="0"/>
      <w:marRight w:val="0"/>
      <w:marTop w:val="0"/>
      <w:marBottom w:val="0"/>
      <w:divBdr>
        <w:top w:val="none" w:sz="0" w:space="0" w:color="auto"/>
        <w:left w:val="none" w:sz="0" w:space="0" w:color="auto"/>
        <w:bottom w:val="none" w:sz="0" w:space="0" w:color="auto"/>
        <w:right w:val="none" w:sz="0" w:space="0" w:color="auto"/>
      </w:divBdr>
    </w:div>
    <w:div w:id="268241111">
      <w:bodyDiv w:val="1"/>
      <w:marLeft w:val="0"/>
      <w:marRight w:val="0"/>
      <w:marTop w:val="0"/>
      <w:marBottom w:val="0"/>
      <w:divBdr>
        <w:top w:val="none" w:sz="0" w:space="0" w:color="auto"/>
        <w:left w:val="none" w:sz="0" w:space="0" w:color="auto"/>
        <w:bottom w:val="none" w:sz="0" w:space="0" w:color="auto"/>
        <w:right w:val="none" w:sz="0" w:space="0" w:color="auto"/>
      </w:divBdr>
      <w:divsChild>
        <w:div w:id="1803502300">
          <w:marLeft w:val="547"/>
          <w:marRight w:val="0"/>
          <w:marTop w:val="192"/>
          <w:marBottom w:val="0"/>
          <w:divBdr>
            <w:top w:val="none" w:sz="0" w:space="0" w:color="auto"/>
            <w:left w:val="none" w:sz="0" w:space="0" w:color="auto"/>
            <w:bottom w:val="none" w:sz="0" w:space="0" w:color="auto"/>
            <w:right w:val="none" w:sz="0" w:space="0" w:color="auto"/>
          </w:divBdr>
        </w:div>
        <w:div w:id="1623999790">
          <w:marLeft w:val="1166"/>
          <w:marRight w:val="0"/>
          <w:marTop w:val="77"/>
          <w:marBottom w:val="0"/>
          <w:divBdr>
            <w:top w:val="none" w:sz="0" w:space="0" w:color="auto"/>
            <w:left w:val="none" w:sz="0" w:space="0" w:color="auto"/>
            <w:bottom w:val="none" w:sz="0" w:space="0" w:color="auto"/>
            <w:right w:val="none" w:sz="0" w:space="0" w:color="auto"/>
          </w:divBdr>
        </w:div>
        <w:div w:id="736443295">
          <w:marLeft w:val="547"/>
          <w:marRight w:val="0"/>
          <w:marTop w:val="192"/>
          <w:marBottom w:val="0"/>
          <w:divBdr>
            <w:top w:val="none" w:sz="0" w:space="0" w:color="auto"/>
            <w:left w:val="none" w:sz="0" w:space="0" w:color="auto"/>
            <w:bottom w:val="none" w:sz="0" w:space="0" w:color="auto"/>
            <w:right w:val="none" w:sz="0" w:space="0" w:color="auto"/>
          </w:divBdr>
        </w:div>
        <w:div w:id="1253900628">
          <w:marLeft w:val="1166"/>
          <w:marRight w:val="0"/>
          <w:marTop w:val="77"/>
          <w:marBottom w:val="0"/>
          <w:divBdr>
            <w:top w:val="none" w:sz="0" w:space="0" w:color="auto"/>
            <w:left w:val="none" w:sz="0" w:space="0" w:color="auto"/>
            <w:bottom w:val="none" w:sz="0" w:space="0" w:color="auto"/>
            <w:right w:val="none" w:sz="0" w:space="0" w:color="auto"/>
          </w:divBdr>
        </w:div>
        <w:div w:id="1341272430">
          <w:marLeft w:val="547"/>
          <w:marRight w:val="0"/>
          <w:marTop w:val="192"/>
          <w:marBottom w:val="0"/>
          <w:divBdr>
            <w:top w:val="none" w:sz="0" w:space="0" w:color="auto"/>
            <w:left w:val="none" w:sz="0" w:space="0" w:color="auto"/>
            <w:bottom w:val="none" w:sz="0" w:space="0" w:color="auto"/>
            <w:right w:val="none" w:sz="0" w:space="0" w:color="auto"/>
          </w:divBdr>
        </w:div>
        <w:div w:id="411777676">
          <w:marLeft w:val="1166"/>
          <w:marRight w:val="0"/>
          <w:marTop w:val="77"/>
          <w:marBottom w:val="0"/>
          <w:divBdr>
            <w:top w:val="none" w:sz="0" w:space="0" w:color="auto"/>
            <w:left w:val="none" w:sz="0" w:space="0" w:color="auto"/>
            <w:bottom w:val="none" w:sz="0" w:space="0" w:color="auto"/>
            <w:right w:val="none" w:sz="0" w:space="0" w:color="auto"/>
          </w:divBdr>
        </w:div>
        <w:div w:id="648557807">
          <w:marLeft w:val="1166"/>
          <w:marRight w:val="0"/>
          <w:marTop w:val="77"/>
          <w:marBottom w:val="0"/>
          <w:divBdr>
            <w:top w:val="none" w:sz="0" w:space="0" w:color="auto"/>
            <w:left w:val="none" w:sz="0" w:space="0" w:color="auto"/>
            <w:bottom w:val="none" w:sz="0" w:space="0" w:color="auto"/>
            <w:right w:val="none" w:sz="0" w:space="0" w:color="auto"/>
          </w:divBdr>
        </w:div>
        <w:div w:id="359091990">
          <w:marLeft w:val="1166"/>
          <w:marRight w:val="0"/>
          <w:marTop w:val="77"/>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1405432">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57463070">
      <w:bodyDiv w:val="1"/>
      <w:marLeft w:val="0"/>
      <w:marRight w:val="0"/>
      <w:marTop w:val="0"/>
      <w:marBottom w:val="0"/>
      <w:divBdr>
        <w:top w:val="none" w:sz="0" w:space="0" w:color="auto"/>
        <w:left w:val="none" w:sz="0" w:space="0" w:color="auto"/>
        <w:bottom w:val="none" w:sz="0" w:space="0" w:color="auto"/>
        <w:right w:val="none" w:sz="0" w:space="0" w:color="auto"/>
      </w:divBdr>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3365818">
      <w:bodyDiv w:val="1"/>
      <w:marLeft w:val="0"/>
      <w:marRight w:val="0"/>
      <w:marTop w:val="0"/>
      <w:marBottom w:val="0"/>
      <w:divBdr>
        <w:top w:val="none" w:sz="0" w:space="0" w:color="auto"/>
        <w:left w:val="none" w:sz="0" w:space="0" w:color="auto"/>
        <w:bottom w:val="none" w:sz="0" w:space="0" w:color="auto"/>
        <w:right w:val="none" w:sz="0" w:space="0" w:color="auto"/>
      </w:divBdr>
    </w:div>
    <w:div w:id="699941528">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32113003">
      <w:bodyDiv w:val="1"/>
      <w:marLeft w:val="0"/>
      <w:marRight w:val="0"/>
      <w:marTop w:val="0"/>
      <w:marBottom w:val="0"/>
      <w:divBdr>
        <w:top w:val="none" w:sz="0" w:space="0" w:color="auto"/>
        <w:left w:val="none" w:sz="0" w:space="0" w:color="auto"/>
        <w:bottom w:val="none" w:sz="0" w:space="0" w:color="auto"/>
        <w:right w:val="none" w:sz="0" w:space="0" w:color="auto"/>
      </w:divBdr>
    </w:div>
    <w:div w:id="890770123">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4339744">
      <w:bodyDiv w:val="1"/>
      <w:marLeft w:val="0"/>
      <w:marRight w:val="0"/>
      <w:marTop w:val="0"/>
      <w:marBottom w:val="0"/>
      <w:divBdr>
        <w:top w:val="none" w:sz="0" w:space="0" w:color="auto"/>
        <w:left w:val="none" w:sz="0" w:space="0" w:color="auto"/>
        <w:bottom w:val="none" w:sz="0" w:space="0" w:color="auto"/>
        <w:right w:val="none" w:sz="0" w:space="0" w:color="auto"/>
      </w:divBdr>
      <w:divsChild>
        <w:div w:id="2084988279">
          <w:marLeft w:val="1166"/>
          <w:marRight w:val="0"/>
          <w:marTop w:val="96"/>
          <w:marBottom w:val="0"/>
          <w:divBdr>
            <w:top w:val="none" w:sz="0" w:space="0" w:color="auto"/>
            <w:left w:val="none" w:sz="0" w:space="0" w:color="auto"/>
            <w:bottom w:val="none" w:sz="0" w:space="0" w:color="auto"/>
            <w:right w:val="none" w:sz="0" w:space="0" w:color="auto"/>
          </w:divBdr>
        </w:div>
        <w:div w:id="836269007">
          <w:marLeft w:val="1800"/>
          <w:marRight w:val="0"/>
          <w:marTop w:val="86"/>
          <w:marBottom w:val="0"/>
          <w:divBdr>
            <w:top w:val="none" w:sz="0" w:space="0" w:color="auto"/>
            <w:left w:val="none" w:sz="0" w:space="0" w:color="auto"/>
            <w:bottom w:val="none" w:sz="0" w:space="0" w:color="auto"/>
            <w:right w:val="none" w:sz="0" w:space="0" w:color="auto"/>
          </w:divBdr>
        </w:div>
        <w:div w:id="905263848">
          <w:marLeft w:val="1800"/>
          <w:marRight w:val="0"/>
          <w:marTop w:val="86"/>
          <w:marBottom w:val="0"/>
          <w:divBdr>
            <w:top w:val="none" w:sz="0" w:space="0" w:color="auto"/>
            <w:left w:val="none" w:sz="0" w:space="0" w:color="auto"/>
            <w:bottom w:val="none" w:sz="0" w:space="0" w:color="auto"/>
            <w:right w:val="none" w:sz="0" w:space="0" w:color="auto"/>
          </w:divBdr>
        </w:div>
        <w:div w:id="1750425341">
          <w:marLeft w:val="1166"/>
          <w:marRight w:val="0"/>
          <w:marTop w:val="96"/>
          <w:marBottom w:val="0"/>
          <w:divBdr>
            <w:top w:val="none" w:sz="0" w:space="0" w:color="auto"/>
            <w:left w:val="none" w:sz="0" w:space="0" w:color="auto"/>
            <w:bottom w:val="none" w:sz="0" w:space="0" w:color="auto"/>
            <w:right w:val="none" w:sz="0" w:space="0" w:color="auto"/>
          </w:divBdr>
        </w:div>
        <w:div w:id="1778017365">
          <w:marLeft w:val="1166"/>
          <w:marRight w:val="0"/>
          <w:marTop w:val="96"/>
          <w:marBottom w:val="0"/>
          <w:divBdr>
            <w:top w:val="none" w:sz="0" w:space="0" w:color="auto"/>
            <w:left w:val="none" w:sz="0" w:space="0" w:color="auto"/>
            <w:bottom w:val="none" w:sz="0" w:space="0" w:color="auto"/>
            <w:right w:val="none" w:sz="0" w:space="0" w:color="auto"/>
          </w:divBdr>
        </w:div>
        <w:div w:id="1189753630">
          <w:marLeft w:val="1166"/>
          <w:marRight w:val="0"/>
          <w:marTop w:val="96"/>
          <w:marBottom w:val="0"/>
          <w:divBdr>
            <w:top w:val="none" w:sz="0" w:space="0" w:color="auto"/>
            <w:left w:val="none" w:sz="0" w:space="0" w:color="auto"/>
            <w:bottom w:val="none" w:sz="0" w:space="0" w:color="auto"/>
            <w:right w:val="none" w:sz="0" w:space="0" w:color="auto"/>
          </w:divBdr>
        </w:div>
        <w:div w:id="1271088178">
          <w:marLeft w:val="1166"/>
          <w:marRight w:val="0"/>
          <w:marTop w:val="96"/>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91870863">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33767870">
      <w:bodyDiv w:val="1"/>
      <w:marLeft w:val="0"/>
      <w:marRight w:val="0"/>
      <w:marTop w:val="0"/>
      <w:marBottom w:val="0"/>
      <w:divBdr>
        <w:top w:val="none" w:sz="0" w:space="0" w:color="auto"/>
        <w:left w:val="none" w:sz="0" w:space="0" w:color="auto"/>
        <w:bottom w:val="none" w:sz="0" w:space="0" w:color="auto"/>
        <w:right w:val="none" w:sz="0" w:space="0" w:color="auto"/>
      </w:divBdr>
      <w:divsChild>
        <w:div w:id="2050452068">
          <w:marLeft w:val="1166"/>
          <w:marRight w:val="0"/>
          <w:marTop w:val="86"/>
          <w:marBottom w:val="0"/>
          <w:divBdr>
            <w:top w:val="none" w:sz="0" w:space="0" w:color="auto"/>
            <w:left w:val="none" w:sz="0" w:space="0" w:color="auto"/>
            <w:bottom w:val="none" w:sz="0" w:space="0" w:color="auto"/>
            <w:right w:val="none" w:sz="0" w:space="0" w:color="auto"/>
          </w:divBdr>
        </w:div>
        <w:div w:id="181019961">
          <w:marLeft w:val="1800"/>
          <w:marRight w:val="0"/>
          <w:marTop w:val="77"/>
          <w:marBottom w:val="0"/>
          <w:divBdr>
            <w:top w:val="none" w:sz="0" w:space="0" w:color="auto"/>
            <w:left w:val="none" w:sz="0" w:space="0" w:color="auto"/>
            <w:bottom w:val="none" w:sz="0" w:space="0" w:color="auto"/>
            <w:right w:val="none" w:sz="0" w:space="0" w:color="auto"/>
          </w:divBdr>
        </w:div>
        <w:div w:id="1040787582">
          <w:marLeft w:val="1166"/>
          <w:marRight w:val="0"/>
          <w:marTop w:val="86"/>
          <w:marBottom w:val="0"/>
          <w:divBdr>
            <w:top w:val="none" w:sz="0" w:space="0" w:color="auto"/>
            <w:left w:val="none" w:sz="0" w:space="0" w:color="auto"/>
            <w:bottom w:val="none" w:sz="0" w:space="0" w:color="auto"/>
            <w:right w:val="none" w:sz="0" w:space="0" w:color="auto"/>
          </w:divBdr>
        </w:div>
        <w:div w:id="925915310">
          <w:marLeft w:val="1166"/>
          <w:marRight w:val="0"/>
          <w:marTop w:val="86"/>
          <w:marBottom w:val="0"/>
          <w:divBdr>
            <w:top w:val="none" w:sz="0" w:space="0" w:color="auto"/>
            <w:left w:val="none" w:sz="0" w:space="0" w:color="auto"/>
            <w:bottom w:val="none" w:sz="0" w:space="0" w:color="auto"/>
            <w:right w:val="none" w:sz="0" w:space="0" w:color="auto"/>
          </w:divBdr>
        </w:div>
        <w:div w:id="1366448127">
          <w:marLeft w:val="1166"/>
          <w:marRight w:val="0"/>
          <w:marTop w:val="86"/>
          <w:marBottom w:val="0"/>
          <w:divBdr>
            <w:top w:val="none" w:sz="0" w:space="0" w:color="auto"/>
            <w:left w:val="none" w:sz="0" w:space="0" w:color="auto"/>
            <w:bottom w:val="none" w:sz="0" w:space="0" w:color="auto"/>
            <w:right w:val="none" w:sz="0" w:space="0" w:color="auto"/>
          </w:divBdr>
        </w:div>
      </w:divsChild>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900470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7bis-e/Inbox/R3-226004.zip" TargetMode="External"/><Relationship Id="rId3" Type="http://schemas.openxmlformats.org/officeDocument/2006/relationships/settings" Target="settings.xml"/><Relationship Id="rId7" Type="http://schemas.openxmlformats.org/officeDocument/2006/relationships/hyperlink" Target="https://www.3gpp.org/ftp/tsg_ran/WG3_Iu/TSGR3_117bis-e/Inbox/R3-2260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2104</TotalTime>
  <Pages>6</Pages>
  <Words>2052</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620</cp:revision>
  <dcterms:created xsi:type="dcterms:W3CDTF">2021-08-05T07:20:00Z</dcterms:created>
  <dcterms:modified xsi:type="dcterms:W3CDTF">2022-11-03T21:40:00Z</dcterms:modified>
</cp:coreProperties>
</file>